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2ECB7" w14:textId="685F65C8" w:rsidR="00D67EC2" w:rsidRPr="009A3748" w:rsidRDefault="00D67EC2" w:rsidP="00F47EFB">
      <w:pPr>
        <w:pStyle w:val="Prrafodelista"/>
        <w:numPr>
          <w:ilvl w:val="1"/>
          <w:numId w:val="20"/>
        </w:numPr>
        <w:tabs>
          <w:tab w:val="left" w:pos="540"/>
        </w:tabs>
        <w:spacing w:after="0" w:line="240" w:lineRule="auto"/>
        <w:jc w:val="both"/>
        <w:rPr>
          <w:rFonts w:ascii="Arial" w:eastAsia="Times New Roman" w:hAnsi="Arial" w:cs="Arial"/>
          <w:b/>
          <w:sz w:val="18"/>
          <w:szCs w:val="18"/>
          <w:lang w:eastAsia="es-ES"/>
        </w:rPr>
      </w:pPr>
      <w:r w:rsidRPr="009A3748">
        <w:rPr>
          <w:rFonts w:ascii="Arial" w:eastAsia="Times New Roman" w:hAnsi="Arial" w:cs="Arial"/>
          <w:b/>
          <w:sz w:val="18"/>
          <w:szCs w:val="18"/>
          <w:lang w:eastAsia="es-ES"/>
        </w:rPr>
        <w:t>Supervisión por parte de la SFC</w:t>
      </w:r>
    </w:p>
    <w:p w14:paraId="4E1B4392" w14:textId="5D6CE8B2" w:rsidR="00D67EC2" w:rsidRDefault="00D67EC2" w:rsidP="00F47EFB">
      <w:pPr>
        <w:tabs>
          <w:tab w:val="left" w:pos="0"/>
          <w:tab w:val="left" w:pos="567"/>
        </w:tabs>
        <w:spacing w:after="0" w:line="240" w:lineRule="auto"/>
        <w:jc w:val="both"/>
        <w:rPr>
          <w:rFonts w:ascii="Arial" w:eastAsia="Times New Roman" w:hAnsi="Arial" w:cs="Arial"/>
          <w:b/>
          <w:sz w:val="18"/>
          <w:szCs w:val="18"/>
          <w:lang w:eastAsia="es-ES"/>
        </w:rPr>
      </w:pPr>
    </w:p>
    <w:p w14:paraId="3627E32F" w14:textId="77777777" w:rsidR="0097644E" w:rsidRPr="00D67EC2" w:rsidRDefault="0097644E" w:rsidP="00F47EFB">
      <w:pPr>
        <w:tabs>
          <w:tab w:val="left" w:pos="0"/>
          <w:tab w:val="left" w:pos="567"/>
        </w:tabs>
        <w:spacing w:after="0" w:line="240" w:lineRule="auto"/>
        <w:jc w:val="both"/>
        <w:rPr>
          <w:rFonts w:ascii="Arial" w:eastAsia="Times New Roman" w:hAnsi="Arial" w:cs="Arial"/>
          <w:b/>
          <w:sz w:val="18"/>
          <w:szCs w:val="18"/>
          <w:lang w:eastAsia="es-ES"/>
        </w:rPr>
      </w:pPr>
    </w:p>
    <w:p w14:paraId="06FC0F69" w14:textId="77777777" w:rsidR="00D67EC2" w:rsidRPr="00D67EC2" w:rsidRDefault="00D67EC2" w:rsidP="00F47EFB">
      <w:pPr>
        <w:numPr>
          <w:ilvl w:val="0"/>
          <w:numId w:val="19"/>
        </w:numPr>
        <w:tabs>
          <w:tab w:val="left" w:pos="0"/>
          <w:tab w:val="left" w:pos="567"/>
        </w:tabs>
        <w:spacing w:after="0" w:line="240" w:lineRule="auto"/>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GESTIÓN DE RIESGO DE MERCADO</w:t>
      </w:r>
    </w:p>
    <w:p w14:paraId="0EE7DAAE" w14:textId="77777777" w:rsidR="00D67EC2" w:rsidRPr="00D67EC2" w:rsidRDefault="00D67EC2" w:rsidP="00F47EFB">
      <w:pPr>
        <w:tabs>
          <w:tab w:val="left" w:pos="567"/>
        </w:tabs>
        <w:spacing w:after="0" w:line="240" w:lineRule="auto"/>
        <w:ind w:left="426" w:hanging="426"/>
        <w:contextualSpacing/>
        <w:jc w:val="both"/>
        <w:rPr>
          <w:rFonts w:ascii="Arial" w:eastAsia="Times New Roman" w:hAnsi="Arial" w:cs="Arial"/>
          <w:sz w:val="18"/>
          <w:szCs w:val="18"/>
          <w:lang w:eastAsia="es-ES"/>
        </w:rPr>
      </w:pPr>
    </w:p>
    <w:p w14:paraId="6FBD0D24"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Definición de riesgo de mercado</w:t>
      </w:r>
    </w:p>
    <w:p w14:paraId="42AE064E"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Ámbito de aplicación</w:t>
      </w:r>
    </w:p>
    <w:p w14:paraId="2934AB4A"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649BFE43"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4F763C03"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Límites</w:t>
      </w:r>
    </w:p>
    <w:p w14:paraId="05E9199B"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Divulgación de información y reportes</w:t>
      </w:r>
    </w:p>
    <w:p w14:paraId="5A8812F8" w14:textId="77777777" w:rsidR="00D67EC2" w:rsidRPr="00D67EC2" w:rsidRDefault="00D67EC2" w:rsidP="00F47EFB">
      <w:pPr>
        <w:numPr>
          <w:ilvl w:val="2"/>
          <w:numId w:val="19"/>
        </w:numPr>
        <w:tabs>
          <w:tab w:val="right" w:pos="540"/>
        </w:tabs>
        <w:spacing w:after="0" w:line="240" w:lineRule="auto"/>
        <w:ind w:left="0" w:firstLine="0"/>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Divulgación de información por parte de las SCBV</w:t>
      </w:r>
    </w:p>
    <w:p w14:paraId="314C8EC2" w14:textId="77777777" w:rsidR="00D67EC2" w:rsidRPr="00D67EC2" w:rsidRDefault="00D67EC2" w:rsidP="00F47EFB">
      <w:pPr>
        <w:numPr>
          <w:ilvl w:val="2"/>
          <w:numId w:val="19"/>
        </w:numPr>
        <w:tabs>
          <w:tab w:val="right" w:pos="540"/>
        </w:tabs>
        <w:spacing w:after="0" w:line="240" w:lineRule="auto"/>
        <w:ind w:left="0" w:firstLine="0"/>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Reportes de quien(es) desarrolle(n) la función de gestión de riesgos</w:t>
      </w:r>
    </w:p>
    <w:p w14:paraId="610D7A12"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 xml:space="preserve">Documentación </w:t>
      </w:r>
    </w:p>
    <w:p w14:paraId="5D10FD52" w14:textId="77777777" w:rsidR="00D67EC2" w:rsidRPr="00D67EC2" w:rsidRDefault="00D67EC2" w:rsidP="00F47EFB">
      <w:pPr>
        <w:numPr>
          <w:ilvl w:val="2"/>
          <w:numId w:val="19"/>
        </w:numPr>
        <w:tabs>
          <w:tab w:val="left" w:pos="0"/>
          <w:tab w:val="right" w:pos="540"/>
        </w:tabs>
        <w:spacing w:after="0" w:line="240" w:lineRule="auto"/>
        <w:ind w:left="0" w:firstLine="0"/>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Documentación de las SCBV</w:t>
      </w:r>
    </w:p>
    <w:p w14:paraId="6FD32B7F" w14:textId="77777777" w:rsidR="00D67EC2" w:rsidRPr="00D67EC2" w:rsidRDefault="00D67EC2" w:rsidP="00F47EFB">
      <w:pPr>
        <w:tabs>
          <w:tab w:val="left" w:pos="0"/>
        </w:tabs>
        <w:spacing w:after="0" w:line="240" w:lineRule="auto"/>
        <w:jc w:val="both"/>
        <w:rPr>
          <w:rFonts w:ascii="Arial" w:eastAsia="Times New Roman" w:hAnsi="Arial" w:cs="Arial"/>
          <w:sz w:val="18"/>
          <w:szCs w:val="18"/>
          <w:lang w:eastAsia="es-ES"/>
        </w:rPr>
      </w:pPr>
    </w:p>
    <w:p w14:paraId="133898E2" w14:textId="77777777" w:rsidR="00D67EC2" w:rsidRPr="00D67EC2" w:rsidRDefault="00D67EC2" w:rsidP="00F47EFB">
      <w:pPr>
        <w:tabs>
          <w:tab w:val="left" w:pos="567"/>
        </w:tabs>
        <w:spacing w:after="0" w:line="240" w:lineRule="auto"/>
        <w:jc w:val="both"/>
        <w:rPr>
          <w:rFonts w:ascii="Arial" w:eastAsia="Times New Roman" w:hAnsi="Arial" w:cs="Arial"/>
          <w:sz w:val="18"/>
          <w:szCs w:val="18"/>
          <w:lang w:eastAsia="es-ES"/>
        </w:rPr>
      </w:pPr>
    </w:p>
    <w:p w14:paraId="7D4DBF62" w14:textId="77777777" w:rsidR="00D67EC2" w:rsidRPr="00D67EC2" w:rsidRDefault="00D67EC2" w:rsidP="00F47EFB">
      <w:pPr>
        <w:numPr>
          <w:ilvl w:val="0"/>
          <w:numId w:val="19"/>
        </w:numPr>
        <w:tabs>
          <w:tab w:val="left" w:pos="0"/>
          <w:tab w:val="left" w:pos="567"/>
        </w:tabs>
        <w:spacing w:after="0" w:line="240" w:lineRule="auto"/>
        <w:ind w:left="426" w:hanging="426"/>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GESTIÓN DE RIESGO OPERACIONAL</w:t>
      </w:r>
    </w:p>
    <w:p w14:paraId="2AB41607" w14:textId="77777777" w:rsidR="00D67EC2" w:rsidRPr="00D67EC2" w:rsidRDefault="00D67EC2" w:rsidP="00F47EFB">
      <w:pPr>
        <w:tabs>
          <w:tab w:val="left" w:pos="426"/>
        </w:tabs>
        <w:spacing w:after="0" w:line="240" w:lineRule="auto"/>
        <w:jc w:val="both"/>
        <w:rPr>
          <w:rFonts w:ascii="Arial" w:eastAsia="Times New Roman" w:hAnsi="Arial" w:cs="Arial"/>
          <w:b/>
          <w:sz w:val="18"/>
          <w:szCs w:val="18"/>
          <w:lang w:eastAsia="es-ES"/>
        </w:rPr>
      </w:pPr>
    </w:p>
    <w:p w14:paraId="59BDD518" w14:textId="77777777" w:rsidR="00D67EC2" w:rsidRPr="00D67EC2" w:rsidRDefault="00D67EC2" w:rsidP="00F47EFB">
      <w:pPr>
        <w:numPr>
          <w:ilvl w:val="1"/>
          <w:numId w:val="19"/>
        </w:numPr>
        <w:tabs>
          <w:tab w:val="left" w:pos="90"/>
          <w:tab w:val="right" w:pos="540"/>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Definición de riesgo operacional</w:t>
      </w:r>
    </w:p>
    <w:p w14:paraId="62A4EFA7" w14:textId="77777777" w:rsidR="00D67EC2" w:rsidRPr="00D67EC2" w:rsidRDefault="00D67EC2" w:rsidP="00F47EFB">
      <w:pPr>
        <w:numPr>
          <w:ilvl w:val="1"/>
          <w:numId w:val="19"/>
        </w:numPr>
        <w:tabs>
          <w:tab w:val="left" w:pos="90"/>
          <w:tab w:val="right" w:pos="540"/>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Ámbito de aplicación</w:t>
      </w:r>
    </w:p>
    <w:p w14:paraId="6C8AD61F" w14:textId="77777777" w:rsidR="00D67EC2" w:rsidRPr="00D67EC2" w:rsidRDefault="00D67EC2" w:rsidP="00F47EFB">
      <w:pPr>
        <w:numPr>
          <w:ilvl w:val="1"/>
          <w:numId w:val="19"/>
        </w:numPr>
        <w:tabs>
          <w:tab w:val="left" w:pos="90"/>
          <w:tab w:val="right" w:pos="540"/>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25455827" w14:textId="77777777" w:rsidR="00D67EC2" w:rsidRPr="00D67EC2" w:rsidRDefault="00D67EC2" w:rsidP="00F47EFB">
      <w:pPr>
        <w:numPr>
          <w:ilvl w:val="2"/>
          <w:numId w:val="19"/>
        </w:numPr>
        <w:tabs>
          <w:tab w:val="right" w:pos="540"/>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7053916E" w14:textId="77777777" w:rsidR="00D67EC2" w:rsidRPr="00D67EC2" w:rsidRDefault="00D67EC2" w:rsidP="00F47EFB">
      <w:pPr>
        <w:numPr>
          <w:ilvl w:val="1"/>
          <w:numId w:val="19"/>
        </w:numPr>
        <w:tabs>
          <w:tab w:val="left" w:pos="90"/>
          <w:tab w:val="right" w:pos="540"/>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Capacitación</w:t>
      </w:r>
    </w:p>
    <w:p w14:paraId="50FF0AD1" w14:textId="77777777" w:rsidR="00D67EC2" w:rsidRPr="00D67EC2" w:rsidRDefault="00D67EC2" w:rsidP="00F47EFB">
      <w:pPr>
        <w:numPr>
          <w:ilvl w:val="1"/>
          <w:numId w:val="19"/>
        </w:numPr>
        <w:tabs>
          <w:tab w:val="left" w:pos="90"/>
          <w:tab w:val="right" w:pos="540"/>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Reglas especiales en materia de órdenes de embargo</w:t>
      </w:r>
    </w:p>
    <w:p w14:paraId="634ED674" w14:textId="77777777" w:rsidR="00D67EC2" w:rsidRPr="00D67EC2" w:rsidRDefault="00D67EC2" w:rsidP="00F47EFB">
      <w:pPr>
        <w:tabs>
          <w:tab w:val="left" w:pos="0"/>
          <w:tab w:val="left" w:pos="567"/>
        </w:tabs>
        <w:spacing w:after="0" w:line="240" w:lineRule="auto"/>
        <w:ind w:left="426" w:hanging="426"/>
        <w:jc w:val="both"/>
        <w:rPr>
          <w:rFonts w:ascii="Arial" w:eastAsia="Times New Roman" w:hAnsi="Arial" w:cs="Arial"/>
          <w:b/>
          <w:sz w:val="18"/>
          <w:szCs w:val="18"/>
          <w:lang w:eastAsia="es-ES"/>
        </w:rPr>
      </w:pPr>
    </w:p>
    <w:p w14:paraId="62861ADF" w14:textId="77777777" w:rsidR="00D67EC2" w:rsidRPr="00D67EC2" w:rsidRDefault="00D67EC2" w:rsidP="00F47EFB">
      <w:pPr>
        <w:tabs>
          <w:tab w:val="left" w:pos="0"/>
          <w:tab w:val="left" w:pos="567"/>
        </w:tabs>
        <w:spacing w:after="0" w:line="240" w:lineRule="auto"/>
        <w:ind w:left="426" w:hanging="426"/>
        <w:jc w:val="both"/>
        <w:rPr>
          <w:rFonts w:ascii="Arial" w:eastAsia="Times New Roman" w:hAnsi="Arial" w:cs="Arial"/>
          <w:b/>
          <w:sz w:val="18"/>
          <w:szCs w:val="18"/>
          <w:lang w:eastAsia="es-ES"/>
        </w:rPr>
      </w:pPr>
    </w:p>
    <w:p w14:paraId="4DC1CB15" w14:textId="77777777" w:rsidR="00D67EC2" w:rsidRPr="00D67EC2" w:rsidRDefault="00D67EC2" w:rsidP="00F47EFB">
      <w:pPr>
        <w:numPr>
          <w:ilvl w:val="0"/>
          <w:numId w:val="19"/>
        </w:numPr>
        <w:tabs>
          <w:tab w:val="left" w:pos="0"/>
          <w:tab w:val="left" w:pos="567"/>
        </w:tabs>
        <w:spacing w:after="0" w:line="240" w:lineRule="auto"/>
        <w:ind w:left="426" w:hanging="426"/>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GESTIÓN DE RIESGO DE LIQUIDEZ</w:t>
      </w:r>
    </w:p>
    <w:p w14:paraId="1E98B7F4" w14:textId="77777777" w:rsidR="00D67EC2" w:rsidRPr="00D67EC2" w:rsidRDefault="00D67EC2" w:rsidP="00F47EFB">
      <w:pPr>
        <w:tabs>
          <w:tab w:val="left" w:pos="426"/>
        </w:tabs>
        <w:spacing w:after="0" w:line="240" w:lineRule="auto"/>
        <w:jc w:val="both"/>
        <w:rPr>
          <w:rFonts w:ascii="Arial" w:eastAsia="Times New Roman" w:hAnsi="Arial" w:cs="Arial"/>
          <w:b/>
          <w:sz w:val="18"/>
          <w:szCs w:val="18"/>
          <w:lang w:eastAsia="es-ES"/>
        </w:rPr>
      </w:pPr>
    </w:p>
    <w:p w14:paraId="63D5BE84"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Definición de riesgo de liquidez</w:t>
      </w:r>
    </w:p>
    <w:p w14:paraId="19FAB49C"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Ámbito de aplicación</w:t>
      </w:r>
    </w:p>
    <w:p w14:paraId="41EF724E"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1A00E591"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2F73AD3D"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Límites</w:t>
      </w:r>
    </w:p>
    <w:p w14:paraId="03C9D488"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Plan de contingencia de liquidez</w:t>
      </w:r>
    </w:p>
    <w:p w14:paraId="70EB10F0" w14:textId="77777777" w:rsidR="00D67EC2" w:rsidRPr="00D67EC2" w:rsidRDefault="00D67EC2" w:rsidP="00F47EFB">
      <w:pPr>
        <w:tabs>
          <w:tab w:val="left" w:pos="567"/>
        </w:tabs>
        <w:spacing w:after="0" w:line="240" w:lineRule="auto"/>
        <w:ind w:left="426" w:hanging="426"/>
        <w:contextualSpacing/>
        <w:jc w:val="both"/>
        <w:rPr>
          <w:rFonts w:ascii="Arial" w:eastAsia="Times New Roman" w:hAnsi="Arial" w:cs="Arial"/>
          <w:sz w:val="18"/>
          <w:szCs w:val="18"/>
          <w:lang w:eastAsia="es-ES"/>
        </w:rPr>
      </w:pPr>
    </w:p>
    <w:p w14:paraId="04F5B57C" w14:textId="77777777" w:rsidR="00D67EC2" w:rsidRPr="00D67EC2" w:rsidRDefault="00D67EC2" w:rsidP="00F47EFB">
      <w:pPr>
        <w:tabs>
          <w:tab w:val="left" w:pos="567"/>
        </w:tabs>
        <w:spacing w:after="0" w:line="240" w:lineRule="auto"/>
        <w:ind w:left="426" w:hanging="426"/>
        <w:contextualSpacing/>
        <w:jc w:val="both"/>
        <w:rPr>
          <w:rFonts w:ascii="Arial" w:eastAsia="Times New Roman" w:hAnsi="Arial" w:cs="Arial"/>
          <w:sz w:val="18"/>
          <w:szCs w:val="18"/>
          <w:lang w:eastAsia="es-ES"/>
        </w:rPr>
      </w:pPr>
    </w:p>
    <w:p w14:paraId="614017E8" w14:textId="77777777" w:rsidR="00D67EC2" w:rsidRPr="00D67EC2" w:rsidRDefault="00D67EC2" w:rsidP="00F47EFB">
      <w:pPr>
        <w:numPr>
          <w:ilvl w:val="0"/>
          <w:numId w:val="19"/>
        </w:numPr>
        <w:tabs>
          <w:tab w:val="left" w:pos="0"/>
          <w:tab w:val="left" w:pos="567"/>
        </w:tabs>
        <w:spacing w:after="0" w:line="240" w:lineRule="auto"/>
        <w:ind w:left="426" w:hanging="426"/>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 xml:space="preserve"> GESTIÓN DE RIESGO PAÍS</w:t>
      </w:r>
    </w:p>
    <w:p w14:paraId="72E21285" w14:textId="77777777" w:rsidR="00D67EC2" w:rsidRPr="00D67EC2" w:rsidRDefault="00D67EC2" w:rsidP="00F47EFB">
      <w:pPr>
        <w:tabs>
          <w:tab w:val="left" w:pos="426"/>
        </w:tabs>
        <w:spacing w:after="0" w:line="240" w:lineRule="auto"/>
        <w:jc w:val="both"/>
        <w:rPr>
          <w:rFonts w:ascii="Arial" w:eastAsia="Times New Roman" w:hAnsi="Arial" w:cs="Arial"/>
          <w:b/>
          <w:sz w:val="18"/>
          <w:szCs w:val="18"/>
          <w:lang w:eastAsia="es-ES"/>
        </w:rPr>
      </w:pPr>
    </w:p>
    <w:p w14:paraId="65ED6017"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Definición de riesgo país</w:t>
      </w:r>
    </w:p>
    <w:p w14:paraId="5E8C4239"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Ámbito de aplicación</w:t>
      </w:r>
    </w:p>
    <w:p w14:paraId="45D565D0"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26AFC5FD"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404B4431"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Límites</w:t>
      </w:r>
    </w:p>
    <w:p w14:paraId="2283D801"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Reportes</w:t>
      </w:r>
    </w:p>
    <w:p w14:paraId="37026DCA" w14:textId="77777777" w:rsidR="00D67EC2" w:rsidRPr="00D67EC2" w:rsidRDefault="00D67EC2" w:rsidP="00F47EFB">
      <w:pPr>
        <w:tabs>
          <w:tab w:val="left" w:pos="0"/>
          <w:tab w:val="left" w:pos="567"/>
        </w:tabs>
        <w:spacing w:after="0" w:line="240" w:lineRule="auto"/>
        <w:jc w:val="both"/>
        <w:rPr>
          <w:rFonts w:ascii="Arial" w:eastAsia="Times New Roman" w:hAnsi="Arial" w:cs="Arial"/>
          <w:b/>
          <w:sz w:val="18"/>
          <w:szCs w:val="18"/>
          <w:lang w:eastAsia="es-ES"/>
        </w:rPr>
      </w:pPr>
    </w:p>
    <w:p w14:paraId="733AA689" w14:textId="69C84546" w:rsidR="00D67EC2" w:rsidRPr="00D67EC2" w:rsidRDefault="00020D26" w:rsidP="00F47EFB">
      <w:pPr>
        <w:tabs>
          <w:tab w:val="left" w:pos="0"/>
          <w:tab w:val="left" w:pos="567"/>
        </w:tabs>
        <w:spacing w:after="0" w:line="240" w:lineRule="auto"/>
        <w:jc w:val="both"/>
        <w:rPr>
          <w:rFonts w:ascii="Arial" w:eastAsia="Times New Roman" w:hAnsi="Arial" w:cs="Arial"/>
          <w:b/>
          <w:sz w:val="18"/>
          <w:szCs w:val="18"/>
          <w:lang w:eastAsia="es-ES"/>
        </w:rPr>
      </w:pPr>
      <w:r>
        <w:rPr>
          <w:rFonts w:ascii="Arial" w:eastAsia="Times New Roman" w:hAnsi="Arial" w:cs="Arial"/>
          <w:b/>
          <w:noProof/>
          <w:sz w:val="18"/>
          <w:szCs w:val="18"/>
          <w:lang w:eastAsia="es-ES"/>
        </w:rPr>
        <mc:AlternateContent>
          <mc:Choice Requires="wps">
            <w:drawing>
              <wp:anchor distT="0" distB="0" distL="114300" distR="114300" simplePos="0" relativeHeight="251658241" behindDoc="0" locked="0" layoutInCell="1" allowOverlap="1" wp14:anchorId="43168BC9" wp14:editId="27644E80">
                <wp:simplePos x="0" y="0"/>
                <wp:positionH relativeFrom="column">
                  <wp:posOffset>-77953</wp:posOffset>
                </wp:positionH>
                <wp:positionV relativeFrom="paragraph">
                  <wp:posOffset>125781</wp:posOffset>
                </wp:positionV>
                <wp:extent cx="0" cy="1550822"/>
                <wp:effectExtent l="0" t="0" r="38100" b="30480"/>
                <wp:wrapNone/>
                <wp:docPr id="1217121828" name="Conector recto 1217121828"/>
                <wp:cNvGraphicFramePr/>
                <a:graphic xmlns:a="http://schemas.openxmlformats.org/drawingml/2006/main">
                  <a:graphicData uri="http://schemas.microsoft.com/office/word/2010/wordprocessingShape">
                    <wps:wsp>
                      <wps:cNvCnPr/>
                      <wps:spPr>
                        <a:xfrm>
                          <a:off x="0" y="0"/>
                          <a:ext cx="0" cy="15508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EC3430B" id="Conector recto 1217121828" o:spid="_x0000_s1026" style="position:absolute;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15pt,9.9pt" to="-6.1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dsAEAANQDAAAOAAAAZHJzL2Uyb0RvYy54bWysU01v2zAMvQ/YfxB0X2wH6FAYcXpo0V2G&#10;rdjHD1BlKhYgiYKkxs6/HyUndrEWKDrsQosU3yP5RO9uJmvYEULU6DrebGrOwEnstTt0/Pev+0/X&#10;nMUkXC8MOuj4CSK/2X/8sBt9C1sc0PQQGJG42I6+40NKvq2qKAewIm7Qg6NLhcGKRG44VH0QI7Fb&#10;U23r+nM1Yuh9QAkxUvRuvuT7wq8UyPRdqQiJmY5Tb6nYUOxjttV+J9pDEH7Q8tyG+IcurNCOii5U&#10;dyIJ9hT0CyqrZcCIKm0k2gqV0hLKDDRNU/81zc9BeCizkDjRLzLF/0crvx1v3UMgGUYf2+gfQp5i&#10;UsHmL/XHpiLWaRELpsTkHJQUba6u6uvtNgtZrUAfYvoCaFk+dNxol+cQrTh+jWlOvaTksHHZRjS6&#10;v9fGFCdvANyawI6C3i5NzbnEsywqmJHV2no5pZOBmfUHKKZ7arYp1ctWrZxCSnDpwmscZWeYog4W&#10;YP028JyfoVA27j3gBVEqo0sL2GqH4bXqqxRqzr8oMM+dJXjE/lQetUhDq1Me57zmeTef+wW+/oz7&#10;PwAAAP//AwBQSwMEFAAGAAgAAAAhAN/dg1DfAAAACgEAAA8AAABkcnMvZG93bnJldi54bWxMj0FL&#10;w0AQhe+C/2EZwYu0m6YaNGZTJNCLB8FGisdtdpoNZmdDdtuk/94RD3qc9z7evFdsZteLM46h86Rg&#10;tUxAIDXedNQq+Ki3i0cQIWoyuveECi4YYFNeXxU6N36idzzvYis4hEKuFdgYh1zK0Fh0Oiz9gMTe&#10;0Y9ORz7HVppRTxzuepkmSSad7og/WD1gZbH52p2cgs/2br3d11RPVXw7Zna+7F8fKqVub+aXZxAR&#10;5/gHw099rg4ldzr4E5kgegWLVbpmlI0nnsDAr3BQkGb3CciykP8nlN8AAAD//wMAUEsBAi0AFAAG&#10;AAgAAAAhALaDOJL+AAAA4QEAABMAAAAAAAAAAAAAAAAAAAAAAFtDb250ZW50X1R5cGVzXS54bWxQ&#10;SwECLQAUAAYACAAAACEAOP0h/9YAAACUAQAACwAAAAAAAAAAAAAAAAAvAQAAX3JlbHMvLnJlbHNQ&#10;SwECLQAUAAYACAAAACEAbT/+nbABAADUAwAADgAAAAAAAAAAAAAAAAAuAgAAZHJzL2Uyb0RvYy54&#10;bWxQSwECLQAUAAYACAAAACEA392DUN8AAAAKAQAADwAAAAAAAAAAAAAAAAAKBAAAZHJzL2Rvd25y&#10;ZXYueG1sUEsFBgAAAAAEAAQA8wAAABYFAAAAAA==&#10;" strokecolor="black [3213]" strokeweight=".5pt">
                <v:stroke joinstyle="miter"/>
              </v:line>
            </w:pict>
          </mc:Fallback>
        </mc:AlternateContent>
      </w:r>
    </w:p>
    <w:p w14:paraId="2C13D2E7" w14:textId="77777777" w:rsidR="00D67EC2" w:rsidRPr="00D67EC2" w:rsidRDefault="00D67EC2" w:rsidP="00AC471B">
      <w:pPr>
        <w:numPr>
          <w:ilvl w:val="0"/>
          <w:numId w:val="19"/>
        </w:numPr>
        <w:tabs>
          <w:tab w:val="left" w:pos="0"/>
          <w:tab w:val="left" w:pos="567"/>
        </w:tabs>
        <w:spacing w:after="0" w:line="240" w:lineRule="auto"/>
        <w:ind w:left="426" w:hanging="426"/>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GESTIÓN DE RIESGO DE CONTRAPARTE</w:t>
      </w:r>
    </w:p>
    <w:p w14:paraId="442426A3" w14:textId="77777777" w:rsidR="00D957FA" w:rsidRPr="00D67EC2" w:rsidRDefault="00D957FA" w:rsidP="00AC471B">
      <w:pPr>
        <w:tabs>
          <w:tab w:val="left" w:pos="567"/>
        </w:tabs>
        <w:spacing w:after="0" w:line="240" w:lineRule="auto"/>
        <w:ind w:left="426" w:hanging="426"/>
        <w:contextualSpacing/>
        <w:jc w:val="both"/>
        <w:rPr>
          <w:rFonts w:ascii="Arial" w:eastAsia="Times New Roman" w:hAnsi="Arial" w:cs="Arial"/>
          <w:sz w:val="18"/>
          <w:szCs w:val="18"/>
          <w:lang w:eastAsia="es-ES"/>
        </w:rPr>
      </w:pPr>
    </w:p>
    <w:p w14:paraId="4EEC0FF8" w14:textId="76A89B79" w:rsidR="00206389" w:rsidRDefault="002C364C" w:rsidP="00AC471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9A3748">
        <w:rPr>
          <w:rFonts w:ascii="Arial" w:eastAsia="Times New Roman" w:hAnsi="Arial" w:cs="Arial"/>
          <w:b/>
          <w:sz w:val="18"/>
          <w:szCs w:val="18"/>
          <w:lang w:eastAsia="es-ES"/>
        </w:rPr>
        <w:t>Generalidade</w:t>
      </w:r>
      <w:r w:rsidR="00206389" w:rsidRPr="009A3748">
        <w:rPr>
          <w:rFonts w:ascii="Arial" w:eastAsia="Times New Roman" w:hAnsi="Arial" w:cs="Arial"/>
          <w:b/>
          <w:sz w:val="18"/>
          <w:szCs w:val="18"/>
          <w:lang w:eastAsia="es-ES"/>
        </w:rPr>
        <w:t>s</w:t>
      </w:r>
    </w:p>
    <w:p w14:paraId="1AC07F96" w14:textId="6B35EEF0" w:rsidR="00603AEF" w:rsidRDefault="00603AEF" w:rsidP="00AC471B">
      <w:pPr>
        <w:pStyle w:val="Prrafodelista"/>
        <w:numPr>
          <w:ilvl w:val="2"/>
          <w:numId w:val="19"/>
        </w:numPr>
        <w:tabs>
          <w:tab w:val="left" w:pos="567"/>
        </w:tabs>
        <w:spacing w:after="0" w:line="240" w:lineRule="auto"/>
        <w:ind w:hanging="644"/>
        <w:jc w:val="both"/>
        <w:rPr>
          <w:rFonts w:ascii="Arial" w:eastAsia="Times New Roman" w:hAnsi="Arial" w:cs="Arial"/>
          <w:bCs/>
          <w:sz w:val="18"/>
          <w:szCs w:val="18"/>
          <w:lang w:eastAsia="es-ES"/>
        </w:rPr>
      </w:pPr>
      <w:r>
        <w:rPr>
          <w:rFonts w:ascii="Arial" w:eastAsia="Times New Roman" w:hAnsi="Arial" w:cs="Arial"/>
          <w:bCs/>
          <w:sz w:val="18"/>
          <w:szCs w:val="18"/>
          <w:lang w:eastAsia="es-ES"/>
        </w:rPr>
        <w:t>Definición de riesgo de contraparte (RiC)</w:t>
      </w:r>
    </w:p>
    <w:p w14:paraId="15F8A8A9" w14:textId="0060C05E" w:rsidR="002E72EE" w:rsidRPr="00317408" w:rsidRDefault="002E72EE" w:rsidP="00AC471B">
      <w:pPr>
        <w:pStyle w:val="Prrafodelista"/>
        <w:numPr>
          <w:ilvl w:val="2"/>
          <w:numId w:val="19"/>
        </w:numPr>
        <w:tabs>
          <w:tab w:val="left" w:pos="567"/>
        </w:tabs>
        <w:spacing w:after="0" w:line="240" w:lineRule="auto"/>
        <w:ind w:hanging="644"/>
        <w:jc w:val="both"/>
        <w:rPr>
          <w:rFonts w:ascii="Arial" w:eastAsia="Times New Roman" w:hAnsi="Arial" w:cs="Arial"/>
          <w:bCs/>
          <w:sz w:val="18"/>
          <w:szCs w:val="18"/>
          <w:lang w:eastAsia="es-ES"/>
        </w:rPr>
      </w:pPr>
      <w:r w:rsidRPr="00317408">
        <w:rPr>
          <w:rFonts w:ascii="Arial" w:eastAsia="Times New Roman" w:hAnsi="Arial" w:cs="Arial"/>
          <w:bCs/>
          <w:sz w:val="18"/>
          <w:szCs w:val="18"/>
          <w:lang w:eastAsia="es-ES"/>
        </w:rPr>
        <w:t>Ámbito de aplicación</w:t>
      </w:r>
    </w:p>
    <w:p w14:paraId="715266F5" w14:textId="3C4DD7C5" w:rsidR="002E72EE" w:rsidRDefault="002E72EE" w:rsidP="00AC471B">
      <w:pPr>
        <w:pStyle w:val="Prrafodelista"/>
        <w:numPr>
          <w:ilvl w:val="2"/>
          <w:numId w:val="19"/>
        </w:numPr>
        <w:tabs>
          <w:tab w:val="left" w:pos="567"/>
        </w:tabs>
        <w:spacing w:after="0" w:line="240" w:lineRule="auto"/>
        <w:ind w:hanging="644"/>
        <w:jc w:val="both"/>
        <w:rPr>
          <w:rFonts w:ascii="Arial" w:eastAsia="Times New Roman" w:hAnsi="Arial" w:cs="Arial"/>
          <w:bCs/>
          <w:sz w:val="18"/>
          <w:szCs w:val="18"/>
          <w:lang w:eastAsia="es-ES"/>
        </w:rPr>
      </w:pPr>
      <w:r w:rsidRPr="00317408">
        <w:rPr>
          <w:rFonts w:ascii="Arial" w:eastAsia="Times New Roman" w:hAnsi="Arial" w:cs="Arial"/>
          <w:bCs/>
          <w:sz w:val="18"/>
          <w:szCs w:val="18"/>
          <w:lang w:eastAsia="es-ES"/>
        </w:rPr>
        <w:t>Naturaleza</w:t>
      </w:r>
      <w:r w:rsidR="006C6F46" w:rsidRPr="00317408">
        <w:rPr>
          <w:rFonts w:ascii="Arial" w:eastAsia="Times New Roman" w:hAnsi="Arial" w:cs="Arial"/>
          <w:bCs/>
          <w:sz w:val="18"/>
          <w:szCs w:val="18"/>
          <w:lang w:eastAsia="es-ES"/>
        </w:rPr>
        <w:t xml:space="preserve"> del </w:t>
      </w:r>
      <w:r w:rsidR="00603AEF">
        <w:rPr>
          <w:rFonts w:ascii="Arial" w:eastAsia="Times New Roman" w:hAnsi="Arial" w:cs="Arial"/>
          <w:bCs/>
          <w:sz w:val="18"/>
          <w:szCs w:val="18"/>
          <w:lang w:eastAsia="es-ES"/>
        </w:rPr>
        <w:t>r</w:t>
      </w:r>
      <w:r w:rsidR="006C6F46" w:rsidRPr="00317408">
        <w:rPr>
          <w:rFonts w:ascii="Arial" w:eastAsia="Times New Roman" w:hAnsi="Arial" w:cs="Arial"/>
          <w:bCs/>
          <w:sz w:val="18"/>
          <w:szCs w:val="18"/>
          <w:lang w:eastAsia="es-ES"/>
        </w:rPr>
        <w:t xml:space="preserve">iesgo de </w:t>
      </w:r>
      <w:r w:rsidR="00603AEF">
        <w:rPr>
          <w:rFonts w:ascii="Arial" w:eastAsia="Times New Roman" w:hAnsi="Arial" w:cs="Arial"/>
          <w:bCs/>
          <w:sz w:val="18"/>
          <w:szCs w:val="18"/>
          <w:lang w:eastAsia="es-ES"/>
        </w:rPr>
        <w:t>c</w:t>
      </w:r>
      <w:r w:rsidR="006C6F46" w:rsidRPr="00317408">
        <w:rPr>
          <w:rFonts w:ascii="Arial" w:eastAsia="Times New Roman" w:hAnsi="Arial" w:cs="Arial"/>
          <w:bCs/>
          <w:sz w:val="18"/>
          <w:szCs w:val="18"/>
          <w:lang w:eastAsia="es-ES"/>
        </w:rPr>
        <w:t>ontraparte</w:t>
      </w:r>
    </w:p>
    <w:p w14:paraId="65ED14C7" w14:textId="232E0C89" w:rsidR="007F5B86" w:rsidRPr="00317408" w:rsidRDefault="007F5B86" w:rsidP="00AC471B">
      <w:pPr>
        <w:pStyle w:val="Prrafodelista"/>
        <w:numPr>
          <w:ilvl w:val="2"/>
          <w:numId w:val="19"/>
        </w:numPr>
        <w:tabs>
          <w:tab w:val="left" w:pos="567"/>
        </w:tabs>
        <w:spacing w:after="0" w:line="240" w:lineRule="auto"/>
        <w:ind w:hanging="644"/>
        <w:jc w:val="both"/>
        <w:rPr>
          <w:rFonts w:ascii="Arial" w:eastAsia="Times New Roman" w:hAnsi="Arial" w:cs="Arial"/>
          <w:bCs/>
          <w:sz w:val="18"/>
          <w:szCs w:val="18"/>
          <w:lang w:eastAsia="es-ES"/>
        </w:rPr>
      </w:pPr>
      <w:r>
        <w:rPr>
          <w:rFonts w:ascii="Arial" w:eastAsia="Times New Roman" w:hAnsi="Arial" w:cs="Arial"/>
          <w:bCs/>
          <w:sz w:val="18"/>
          <w:szCs w:val="18"/>
          <w:lang w:eastAsia="es-ES"/>
        </w:rPr>
        <w:t>Monitoreo y supervisión a cargo de los organismos de autorregulación</w:t>
      </w:r>
    </w:p>
    <w:p w14:paraId="22135056" w14:textId="77777777" w:rsidR="00D67EC2" w:rsidRPr="00D67EC2" w:rsidRDefault="00D67EC2" w:rsidP="00AC471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59FDBFF8" w14:textId="77777777" w:rsidR="00D67EC2" w:rsidRDefault="00D67EC2" w:rsidP="00AC471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10AFC51C" w14:textId="36CF0465" w:rsidR="00095FFE" w:rsidRDefault="00095FFE" w:rsidP="00AC471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Pr>
          <w:rFonts w:ascii="Arial" w:eastAsia="Times New Roman" w:hAnsi="Arial" w:cs="Arial"/>
          <w:sz w:val="18"/>
          <w:szCs w:val="18"/>
          <w:lang w:eastAsia="es-ES"/>
        </w:rPr>
        <w:t>Límites</w:t>
      </w:r>
      <w:r w:rsidR="007E1A42">
        <w:rPr>
          <w:rFonts w:ascii="Arial" w:eastAsia="Times New Roman" w:hAnsi="Arial" w:cs="Arial"/>
          <w:sz w:val="18"/>
          <w:szCs w:val="18"/>
          <w:lang w:eastAsia="es-ES"/>
        </w:rPr>
        <w:t xml:space="preserve"> y cupos</w:t>
      </w:r>
    </w:p>
    <w:p w14:paraId="524F263E" w14:textId="2421CB63" w:rsidR="00003BB4" w:rsidRDefault="00003BB4" w:rsidP="00AC471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Pr>
          <w:rFonts w:ascii="Arial" w:eastAsia="Times New Roman" w:hAnsi="Arial" w:cs="Arial"/>
          <w:sz w:val="18"/>
          <w:szCs w:val="18"/>
          <w:lang w:eastAsia="es-ES"/>
        </w:rPr>
        <w:t>Novación, compensación y liquidación centralizada</w:t>
      </w:r>
    </w:p>
    <w:p w14:paraId="527F95D7" w14:textId="6FF66A46" w:rsidR="00003BB4" w:rsidRPr="00D67EC2" w:rsidRDefault="007727D3" w:rsidP="00AC471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Pr>
          <w:rFonts w:ascii="Arial" w:eastAsia="Times New Roman" w:hAnsi="Arial" w:cs="Arial"/>
          <w:sz w:val="18"/>
          <w:szCs w:val="18"/>
          <w:lang w:eastAsia="es-ES"/>
        </w:rPr>
        <w:t>Procedimiento ante eventos de incumplimiento</w:t>
      </w:r>
    </w:p>
    <w:p w14:paraId="237ED1AE" w14:textId="77777777" w:rsidR="00D67EC2" w:rsidRPr="00D67EC2" w:rsidRDefault="00D67EC2" w:rsidP="00F47EFB">
      <w:pPr>
        <w:tabs>
          <w:tab w:val="left" w:pos="0"/>
          <w:tab w:val="left" w:pos="709"/>
        </w:tabs>
        <w:spacing w:after="0" w:line="240" w:lineRule="auto"/>
        <w:jc w:val="both"/>
        <w:rPr>
          <w:rFonts w:ascii="Arial" w:eastAsia="Times New Roman" w:hAnsi="Arial" w:cs="Arial"/>
          <w:b/>
          <w:sz w:val="18"/>
          <w:szCs w:val="18"/>
          <w:lang w:eastAsia="es-ES"/>
        </w:rPr>
      </w:pPr>
    </w:p>
    <w:p w14:paraId="533EB602" w14:textId="77777777" w:rsidR="00D67EC2" w:rsidRPr="00D67EC2" w:rsidRDefault="00D67EC2" w:rsidP="00F47EFB">
      <w:pPr>
        <w:tabs>
          <w:tab w:val="left" w:pos="0"/>
          <w:tab w:val="left" w:pos="709"/>
        </w:tabs>
        <w:spacing w:after="0" w:line="240" w:lineRule="auto"/>
        <w:jc w:val="both"/>
        <w:rPr>
          <w:rFonts w:ascii="Arial" w:eastAsia="Times New Roman" w:hAnsi="Arial" w:cs="Arial"/>
          <w:b/>
          <w:sz w:val="18"/>
          <w:szCs w:val="18"/>
          <w:lang w:eastAsia="es-ES"/>
        </w:rPr>
      </w:pPr>
    </w:p>
    <w:p w14:paraId="27D9549A" w14:textId="77777777" w:rsidR="00D67EC2" w:rsidRPr="00D67EC2" w:rsidRDefault="00D67EC2" w:rsidP="00F47EFB">
      <w:pPr>
        <w:numPr>
          <w:ilvl w:val="0"/>
          <w:numId w:val="19"/>
        </w:numPr>
        <w:tabs>
          <w:tab w:val="left" w:pos="0"/>
          <w:tab w:val="left" w:pos="567"/>
        </w:tabs>
        <w:spacing w:after="0" w:line="240" w:lineRule="auto"/>
        <w:ind w:left="426" w:hanging="426"/>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GESTIÓN DE RIESGO DE GARANTÍAS DEL FONDO NACIONAL DE GARANTÍAS</w:t>
      </w:r>
    </w:p>
    <w:p w14:paraId="578F64AC" w14:textId="77777777" w:rsidR="00D67EC2" w:rsidRPr="00D67EC2" w:rsidRDefault="00D67EC2" w:rsidP="00F47EFB">
      <w:pPr>
        <w:tabs>
          <w:tab w:val="left" w:pos="567"/>
        </w:tabs>
        <w:spacing w:after="0" w:line="240" w:lineRule="auto"/>
        <w:ind w:left="426" w:hanging="426"/>
        <w:contextualSpacing/>
        <w:jc w:val="both"/>
        <w:rPr>
          <w:rFonts w:ascii="Arial" w:eastAsia="Times New Roman" w:hAnsi="Arial" w:cs="Arial"/>
          <w:b/>
          <w:sz w:val="18"/>
          <w:szCs w:val="18"/>
          <w:lang w:eastAsia="es-ES"/>
        </w:rPr>
      </w:pPr>
    </w:p>
    <w:p w14:paraId="3315F453"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Definición de riesgo de garantías</w:t>
      </w:r>
    </w:p>
    <w:p w14:paraId="6C4AE5D2"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Ámbito de aplicación</w:t>
      </w:r>
    </w:p>
    <w:p w14:paraId="105FA90C" w14:textId="77777777" w:rsidR="00D67EC2" w:rsidRPr="00D67EC2" w:rsidRDefault="00D67EC2" w:rsidP="00F47EFB">
      <w:pPr>
        <w:numPr>
          <w:ilvl w:val="1"/>
          <w:numId w:val="19"/>
        </w:numPr>
        <w:tabs>
          <w:tab w:val="left" w:pos="567"/>
        </w:tabs>
        <w:spacing w:after="0" w:line="240" w:lineRule="auto"/>
        <w:ind w:left="0" w:firstLine="0"/>
        <w:contextualSpacing/>
        <w:jc w:val="both"/>
        <w:rPr>
          <w:rFonts w:ascii="Arial" w:eastAsia="Times New Roman" w:hAnsi="Arial" w:cs="Arial"/>
          <w:b/>
          <w:sz w:val="18"/>
          <w:szCs w:val="18"/>
          <w:lang w:eastAsia="es-ES"/>
        </w:rPr>
      </w:pPr>
      <w:r w:rsidRPr="00D67EC2">
        <w:rPr>
          <w:rFonts w:ascii="Arial" w:eastAsia="Times New Roman" w:hAnsi="Arial" w:cs="Arial"/>
          <w:b/>
          <w:sz w:val="18"/>
          <w:szCs w:val="18"/>
          <w:lang w:eastAsia="es-ES"/>
        </w:rPr>
        <w:t>Componentes</w:t>
      </w:r>
    </w:p>
    <w:p w14:paraId="40E4D94C"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Etapas</w:t>
      </w:r>
    </w:p>
    <w:p w14:paraId="26710B55" w14:textId="77777777" w:rsidR="00D67EC2" w:rsidRPr="00D67EC2" w:rsidRDefault="00D67EC2" w:rsidP="00F47EFB">
      <w:pPr>
        <w:numPr>
          <w:ilvl w:val="2"/>
          <w:numId w:val="19"/>
        </w:numPr>
        <w:tabs>
          <w:tab w:val="left" w:pos="567"/>
        </w:tabs>
        <w:spacing w:after="0" w:line="240" w:lineRule="auto"/>
        <w:ind w:left="0" w:firstLine="0"/>
        <w:contextualSpacing/>
        <w:jc w:val="both"/>
        <w:rPr>
          <w:rFonts w:ascii="Arial" w:eastAsia="Times New Roman" w:hAnsi="Arial" w:cs="Arial"/>
          <w:sz w:val="18"/>
          <w:szCs w:val="18"/>
          <w:lang w:eastAsia="es-ES"/>
        </w:rPr>
      </w:pPr>
      <w:r w:rsidRPr="00D67EC2">
        <w:rPr>
          <w:rFonts w:ascii="Arial" w:eastAsia="Times New Roman" w:hAnsi="Arial" w:cs="Arial"/>
          <w:sz w:val="18"/>
          <w:szCs w:val="18"/>
          <w:lang w:eastAsia="es-ES"/>
        </w:rPr>
        <w:t>Límites</w:t>
      </w:r>
    </w:p>
    <w:p w14:paraId="039FE8EC" w14:textId="407CB1F4" w:rsidR="00374DA6" w:rsidRDefault="00374DA6" w:rsidP="00F47EFB">
      <w:pPr>
        <w:tabs>
          <w:tab w:val="left" w:pos="284"/>
        </w:tabs>
        <w:spacing w:after="0" w:line="240" w:lineRule="auto"/>
        <w:ind w:left="360" w:hanging="360"/>
        <w:jc w:val="both"/>
      </w:pPr>
    </w:p>
    <w:p w14:paraId="0BEF2340" w14:textId="77777777" w:rsidR="007F7496" w:rsidRDefault="007F7496" w:rsidP="00CD6AFC">
      <w:pPr>
        <w:tabs>
          <w:tab w:val="left" w:pos="284"/>
        </w:tabs>
        <w:spacing w:after="0" w:line="240" w:lineRule="auto"/>
        <w:jc w:val="both"/>
        <w:sectPr w:rsidR="007F7496" w:rsidSect="00BD334E">
          <w:headerReference w:type="default" r:id="rId11"/>
          <w:footerReference w:type="default" r:id="rId12"/>
          <w:pgSz w:w="12240" w:h="18720" w:code="120"/>
          <w:pgMar w:top="1418" w:right="1701" w:bottom="1418" w:left="1701" w:header="1134" w:footer="1134" w:gutter="0"/>
          <w:pgNumType w:start="1"/>
          <w:cols w:space="708"/>
          <w:docGrid w:linePitch="360"/>
        </w:sectPr>
      </w:pPr>
    </w:p>
    <w:p w14:paraId="7724877A" w14:textId="5548BB55" w:rsidR="0062382B" w:rsidRPr="00CD6AFC" w:rsidRDefault="00CD6AFC" w:rsidP="00CD6AFC">
      <w:pPr>
        <w:pStyle w:val="Prrafodelista"/>
        <w:tabs>
          <w:tab w:val="left" w:pos="540"/>
        </w:tabs>
        <w:spacing w:after="0" w:line="240" w:lineRule="auto"/>
        <w:ind w:left="0"/>
        <w:contextualSpacing w:val="0"/>
        <w:jc w:val="both"/>
        <w:rPr>
          <w:rFonts w:ascii="Arial" w:hAnsi="Arial" w:cs="Arial"/>
          <w:b/>
          <w:sz w:val="18"/>
          <w:szCs w:val="18"/>
        </w:rPr>
      </w:pPr>
      <w:r>
        <w:rPr>
          <w:rFonts w:ascii="Arial" w:hAnsi="Arial" w:cs="Arial"/>
          <w:b/>
          <w:sz w:val="18"/>
          <w:szCs w:val="18"/>
        </w:rPr>
        <w:lastRenderedPageBreak/>
        <w:t xml:space="preserve">3.4. </w:t>
      </w:r>
      <w:r w:rsidRPr="00BD4851">
        <w:rPr>
          <w:rFonts w:ascii="Arial" w:hAnsi="Arial" w:cs="Arial"/>
          <w:b/>
          <w:sz w:val="18"/>
          <w:szCs w:val="18"/>
        </w:rPr>
        <w:t>Reportes a la SFC</w:t>
      </w:r>
    </w:p>
    <w:p w14:paraId="529AA2C3" w14:textId="77777777" w:rsidR="003D7396" w:rsidRDefault="003D7396" w:rsidP="00F47EFB">
      <w:pPr>
        <w:jc w:val="both"/>
        <w:rPr>
          <w:rFonts w:ascii="Arial" w:hAnsi="Arial" w:cs="Arial"/>
          <w:sz w:val="10"/>
          <w:szCs w:val="10"/>
        </w:rPr>
      </w:pPr>
    </w:p>
    <w:p w14:paraId="1162EDBB" w14:textId="77777777" w:rsidR="003D7396" w:rsidRPr="000E73B7" w:rsidRDefault="003D7396" w:rsidP="00F47EFB">
      <w:pPr>
        <w:jc w:val="both"/>
        <w:rPr>
          <w:rFonts w:ascii="Arial" w:hAnsi="Arial" w:cs="Arial"/>
          <w:sz w:val="10"/>
          <w:szCs w:val="10"/>
        </w:rPr>
      </w:pPr>
    </w:p>
    <w:p w14:paraId="1B46DF13" w14:textId="77777777" w:rsidR="003D7396" w:rsidRPr="0071563F" w:rsidRDefault="003D7396" w:rsidP="00317408">
      <w:pPr>
        <w:pStyle w:val="Prrafodelista"/>
        <w:numPr>
          <w:ilvl w:val="0"/>
          <w:numId w:val="21"/>
        </w:numPr>
        <w:tabs>
          <w:tab w:val="left" w:pos="0"/>
          <w:tab w:val="left" w:pos="426"/>
        </w:tabs>
        <w:spacing w:after="0" w:line="240" w:lineRule="auto"/>
        <w:ind w:left="426" w:hanging="426"/>
        <w:contextualSpacing w:val="0"/>
        <w:jc w:val="both"/>
        <w:rPr>
          <w:rFonts w:ascii="Arial" w:hAnsi="Arial" w:cs="Arial"/>
          <w:b/>
          <w:sz w:val="18"/>
          <w:szCs w:val="18"/>
        </w:rPr>
      </w:pPr>
      <w:r w:rsidRPr="0071563F">
        <w:rPr>
          <w:rFonts w:ascii="Arial" w:hAnsi="Arial" w:cs="Arial"/>
          <w:b/>
          <w:sz w:val="18"/>
          <w:szCs w:val="18"/>
        </w:rPr>
        <w:t>MODELO DE MEDICIÓN Y REGISTRO DE EVENTOS DE RIESGO OPERACIONAL</w:t>
      </w:r>
      <w:r w:rsidRPr="0071563F" w:rsidDel="00E17E99">
        <w:rPr>
          <w:rFonts w:ascii="Arial" w:hAnsi="Arial" w:cs="Arial"/>
          <w:b/>
          <w:sz w:val="18"/>
          <w:szCs w:val="18"/>
        </w:rPr>
        <w:t xml:space="preserve"> </w:t>
      </w:r>
    </w:p>
    <w:p w14:paraId="08E8A1F7" w14:textId="77777777" w:rsidR="003D7396" w:rsidRPr="000E73B7" w:rsidRDefault="003D7396" w:rsidP="00F47EFB">
      <w:pPr>
        <w:tabs>
          <w:tab w:val="left" w:pos="0"/>
          <w:tab w:val="left" w:pos="567"/>
        </w:tabs>
        <w:jc w:val="both"/>
        <w:rPr>
          <w:rFonts w:ascii="Arial" w:hAnsi="Arial" w:cs="Arial"/>
          <w:b/>
          <w:sz w:val="10"/>
          <w:szCs w:val="10"/>
        </w:rPr>
      </w:pPr>
    </w:p>
    <w:p w14:paraId="5F9A2DD6"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Modelo de medición</w:t>
      </w:r>
    </w:p>
    <w:p w14:paraId="38DD51EB" w14:textId="77777777" w:rsidR="003D7396" w:rsidRPr="0071563F" w:rsidRDefault="003D7396" w:rsidP="00F47EFB">
      <w:pPr>
        <w:pStyle w:val="Prrafodelista"/>
        <w:numPr>
          <w:ilvl w:val="2"/>
          <w:numId w:val="21"/>
        </w:numPr>
        <w:tabs>
          <w:tab w:val="left" w:pos="0"/>
          <w:tab w:val="left" w:pos="426"/>
          <w:tab w:val="right" w:pos="540"/>
        </w:tabs>
        <w:spacing w:after="0" w:line="240" w:lineRule="auto"/>
        <w:ind w:left="0" w:firstLine="0"/>
        <w:contextualSpacing w:val="0"/>
        <w:jc w:val="both"/>
        <w:rPr>
          <w:rFonts w:ascii="Arial" w:hAnsi="Arial" w:cs="Arial"/>
          <w:sz w:val="18"/>
          <w:szCs w:val="18"/>
        </w:rPr>
      </w:pPr>
      <w:r w:rsidRPr="0071563F">
        <w:rPr>
          <w:rFonts w:ascii="Arial" w:hAnsi="Arial" w:cs="Arial"/>
          <w:bCs/>
          <w:sz w:val="18"/>
          <w:szCs w:val="18"/>
        </w:rPr>
        <w:t>Ámbito</w:t>
      </w:r>
      <w:r w:rsidRPr="0071563F">
        <w:rPr>
          <w:rFonts w:ascii="Arial" w:hAnsi="Arial" w:cs="Arial"/>
          <w:sz w:val="18"/>
          <w:szCs w:val="18"/>
        </w:rPr>
        <w:t xml:space="preserve"> de aplicación</w:t>
      </w:r>
    </w:p>
    <w:p w14:paraId="1D9C82C8"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Registro de eventos de riesgo operacional</w:t>
      </w:r>
    </w:p>
    <w:p w14:paraId="18520767" w14:textId="77777777" w:rsidR="003D7396" w:rsidRPr="0071563F" w:rsidRDefault="003D7396" w:rsidP="00F47EFB">
      <w:pPr>
        <w:pStyle w:val="Prrafodelista"/>
        <w:numPr>
          <w:ilvl w:val="2"/>
          <w:numId w:val="21"/>
        </w:numPr>
        <w:tabs>
          <w:tab w:val="left" w:pos="0"/>
          <w:tab w:val="left" w:pos="426"/>
          <w:tab w:val="righ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Ámbito de aplicación</w:t>
      </w:r>
    </w:p>
    <w:p w14:paraId="1DF2BE9B" w14:textId="77777777" w:rsidR="003D7396" w:rsidRPr="0071563F" w:rsidRDefault="003D7396" w:rsidP="00F47EFB">
      <w:pPr>
        <w:pStyle w:val="Prrafodelista"/>
        <w:numPr>
          <w:ilvl w:val="2"/>
          <w:numId w:val="21"/>
        </w:numPr>
        <w:tabs>
          <w:tab w:val="left" w:pos="0"/>
          <w:tab w:val="left" w:pos="426"/>
          <w:tab w:val="righ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Registro de eventos de riesgo operacional de alta calidad</w:t>
      </w:r>
    </w:p>
    <w:p w14:paraId="0486FF07"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Revelación Contable</w:t>
      </w:r>
    </w:p>
    <w:p w14:paraId="49F2644B"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lang w:val="es-MX"/>
        </w:rPr>
      </w:pPr>
      <w:r w:rsidRPr="0071563F">
        <w:rPr>
          <w:rFonts w:ascii="Arial" w:hAnsi="Arial" w:cs="Arial"/>
          <w:b/>
          <w:sz w:val="18"/>
          <w:szCs w:val="18"/>
        </w:rPr>
        <w:t>Reportes a la SFC</w:t>
      </w:r>
    </w:p>
    <w:p w14:paraId="72FE6649" w14:textId="77777777" w:rsidR="003D7396" w:rsidRPr="000E73B7" w:rsidRDefault="003D7396" w:rsidP="00F47EFB">
      <w:pPr>
        <w:tabs>
          <w:tab w:val="left" w:pos="0"/>
          <w:tab w:val="left" w:pos="709"/>
        </w:tabs>
        <w:jc w:val="both"/>
        <w:rPr>
          <w:rFonts w:ascii="Arial" w:hAnsi="Arial" w:cs="Arial"/>
          <w:b/>
          <w:sz w:val="10"/>
          <w:szCs w:val="10"/>
        </w:rPr>
      </w:pPr>
    </w:p>
    <w:p w14:paraId="24A704F1" w14:textId="77777777" w:rsidR="003D7396" w:rsidRPr="000E73B7" w:rsidRDefault="003D7396" w:rsidP="00F47EFB">
      <w:pPr>
        <w:tabs>
          <w:tab w:val="left" w:pos="0"/>
          <w:tab w:val="left" w:pos="709"/>
        </w:tabs>
        <w:jc w:val="both"/>
        <w:rPr>
          <w:rFonts w:ascii="Arial" w:hAnsi="Arial" w:cs="Arial"/>
          <w:b/>
          <w:sz w:val="10"/>
          <w:szCs w:val="10"/>
        </w:rPr>
      </w:pPr>
    </w:p>
    <w:p w14:paraId="3675664C" w14:textId="77777777" w:rsidR="003D7396" w:rsidRPr="0071563F" w:rsidRDefault="003D7396" w:rsidP="00F47EFB">
      <w:pPr>
        <w:pStyle w:val="Prrafodelista"/>
        <w:numPr>
          <w:ilvl w:val="0"/>
          <w:numId w:val="21"/>
        </w:numPr>
        <w:tabs>
          <w:tab w:val="left" w:pos="0"/>
          <w:tab w:val="left" w:pos="36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MODELO DE RIESGO DE L</w:t>
      </w:r>
      <w:r>
        <w:rPr>
          <w:rFonts w:ascii="Arial" w:hAnsi="Arial" w:cs="Arial"/>
          <w:b/>
          <w:sz w:val="18"/>
          <w:szCs w:val="18"/>
        </w:rPr>
        <w:t>Í</w:t>
      </w:r>
      <w:r w:rsidRPr="0071563F">
        <w:rPr>
          <w:rFonts w:ascii="Arial" w:hAnsi="Arial" w:cs="Arial"/>
          <w:b/>
          <w:sz w:val="18"/>
          <w:szCs w:val="18"/>
        </w:rPr>
        <w:t>QUIDEZ</w:t>
      </w:r>
    </w:p>
    <w:p w14:paraId="50E235CB" w14:textId="77777777" w:rsidR="003D7396" w:rsidRPr="000E73B7" w:rsidRDefault="003D7396" w:rsidP="00F47EFB">
      <w:pPr>
        <w:tabs>
          <w:tab w:val="left" w:pos="0"/>
          <w:tab w:val="left" w:pos="567"/>
        </w:tabs>
        <w:jc w:val="both"/>
        <w:rPr>
          <w:rFonts w:ascii="Arial" w:hAnsi="Arial" w:cs="Arial"/>
          <w:b/>
          <w:sz w:val="10"/>
          <w:szCs w:val="10"/>
        </w:rPr>
      </w:pPr>
    </w:p>
    <w:p w14:paraId="113691D4"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Ámbito de aplicación</w:t>
      </w:r>
    </w:p>
    <w:p w14:paraId="758526C3"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Metodología de medición</w:t>
      </w:r>
    </w:p>
    <w:p w14:paraId="102D0240" w14:textId="77777777" w:rsidR="003D7396" w:rsidRPr="0071563F" w:rsidRDefault="003D7396" w:rsidP="00F47EFB">
      <w:pPr>
        <w:pStyle w:val="Prrafodelista"/>
        <w:numPr>
          <w:ilvl w:val="2"/>
          <w:numId w:val="21"/>
        </w:numPr>
        <w:tabs>
          <w:tab w:val="left" w:pos="0"/>
          <w:tab w:val="left" w:pos="426"/>
          <w:tab w:val="righ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Metodología estándar de medición aplicable a los EC, Bancóldex, Findeter y Finagro</w:t>
      </w:r>
    </w:p>
    <w:p w14:paraId="29BC0B05" w14:textId="77777777" w:rsidR="003D7396" w:rsidRPr="0071563F" w:rsidRDefault="003D7396" w:rsidP="00F47EFB">
      <w:pPr>
        <w:pStyle w:val="Prrafodelista"/>
        <w:numPr>
          <w:ilvl w:val="2"/>
          <w:numId w:val="21"/>
        </w:numPr>
        <w:tabs>
          <w:tab w:val="left" w:pos="0"/>
          <w:tab w:val="left" w:pos="426"/>
          <w:tab w:val="righ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Metodología estándar de medición aplicable a las SCBV</w:t>
      </w:r>
    </w:p>
    <w:p w14:paraId="2DFF9A61" w14:textId="77777777" w:rsidR="003D7396" w:rsidRPr="0071563F" w:rsidRDefault="003D7396" w:rsidP="00F47EFB">
      <w:pPr>
        <w:pStyle w:val="Prrafodelista"/>
        <w:numPr>
          <w:ilvl w:val="2"/>
          <w:numId w:val="21"/>
        </w:numPr>
        <w:tabs>
          <w:tab w:val="left" w:pos="0"/>
          <w:tab w:val="right" w:pos="567"/>
        </w:tabs>
        <w:spacing w:after="0" w:line="240" w:lineRule="auto"/>
        <w:ind w:left="567" w:hanging="567"/>
        <w:contextualSpacing w:val="0"/>
        <w:jc w:val="both"/>
        <w:rPr>
          <w:rFonts w:ascii="Arial" w:hAnsi="Arial" w:cs="Arial"/>
          <w:bCs/>
          <w:sz w:val="18"/>
          <w:szCs w:val="18"/>
        </w:rPr>
      </w:pPr>
      <w:r w:rsidRPr="0071563F">
        <w:rPr>
          <w:rFonts w:ascii="Arial" w:hAnsi="Arial" w:cs="Arial"/>
          <w:bCs/>
          <w:sz w:val="18"/>
          <w:szCs w:val="18"/>
        </w:rPr>
        <w:t>Metodología estándar de medición aplicable a las administradoras de los FICs abiertos sin pacto de permanencia</w:t>
      </w:r>
    </w:p>
    <w:p w14:paraId="41D253BB"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Límites y medidas</w:t>
      </w:r>
    </w:p>
    <w:p w14:paraId="3CE2F444"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Límite del IRL</w:t>
      </w:r>
    </w:p>
    <w:p w14:paraId="69C1AB8B" w14:textId="001A353D"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sz w:val="18"/>
          <w:szCs w:val="18"/>
          <w:lang w:val="es-ES_tradnl"/>
        </w:rPr>
      </w:pPr>
      <w:r w:rsidRPr="0071563F">
        <w:rPr>
          <w:rFonts w:ascii="Arial" w:hAnsi="Arial" w:cs="Arial"/>
          <w:bCs/>
          <w:sz w:val="18"/>
          <w:szCs w:val="18"/>
        </w:rPr>
        <w:t>Exposición significativa al riesgo de l</w:t>
      </w:r>
      <w:r w:rsidR="00505521">
        <w:rPr>
          <w:rFonts w:ascii="Arial" w:hAnsi="Arial" w:cs="Arial"/>
          <w:bCs/>
          <w:sz w:val="18"/>
          <w:szCs w:val="18"/>
        </w:rPr>
        <w:t>i</w:t>
      </w:r>
      <w:r w:rsidRPr="0071563F">
        <w:rPr>
          <w:rFonts w:ascii="Arial" w:hAnsi="Arial" w:cs="Arial"/>
          <w:bCs/>
          <w:sz w:val="18"/>
          <w:szCs w:val="18"/>
        </w:rPr>
        <w:t>quidez</w:t>
      </w:r>
    </w:p>
    <w:p w14:paraId="45DEE157"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Modelos internos para no objeción de la SFC</w:t>
      </w:r>
    </w:p>
    <w:p w14:paraId="1277AB63"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eastAsia="Arial" w:hAnsi="Arial" w:cs="Arial"/>
          <w:b/>
          <w:sz w:val="18"/>
          <w:szCs w:val="18"/>
        </w:rPr>
      </w:pPr>
      <w:r w:rsidRPr="0071563F">
        <w:rPr>
          <w:rFonts w:ascii="Arial" w:eastAsia="Arial" w:hAnsi="Arial" w:cs="Arial"/>
          <w:b/>
          <w:sz w:val="18"/>
          <w:szCs w:val="18"/>
        </w:rPr>
        <w:t>Disposiciones de la SFC sobre el modelo interno</w:t>
      </w:r>
    </w:p>
    <w:p w14:paraId="13F6B435"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eastAsia="Arial" w:hAnsi="Arial" w:cs="Arial"/>
          <w:b/>
          <w:sz w:val="18"/>
          <w:szCs w:val="18"/>
        </w:rPr>
      </w:pPr>
      <w:r w:rsidRPr="0071563F">
        <w:rPr>
          <w:rFonts w:ascii="Arial" w:eastAsia="Arial" w:hAnsi="Arial" w:cs="Arial"/>
          <w:b/>
          <w:sz w:val="18"/>
          <w:szCs w:val="18"/>
        </w:rPr>
        <w:t>Revelación contable</w:t>
      </w:r>
    </w:p>
    <w:p w14:paraId="7A6C146A"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Reportes a la SFC</w:t>
      </w:r>
    </w:p>
    <w:p w14:paraId="1F582B6F" w14:textId="77777777" w:rsidR="003D7396" w:rsidRPr="0071563F" w:rsidRDefault="003D7396" w:rsidP="00F47EFB">
      <w:pPr>
        <w:tabs>
          <w:tab w:val="left" w:pos="709"/>
        </w:tabs>
        <w:jc w:val="both"/>
        <w:rPr>
          <w:rFonts w:ascii="Arial" w:hAnsi="Arial" w:cs="Arial"/>
          <w:b/>
          <w:bCs/>
          <w:sz w:val="18"/>
          <w:szCs w:val="18"/>
        </w:rPr>
      </w:pPr>
    </w:p>
    <w:p w14:paraId="1486FDCB" w14:textId="77777777" w:rsidR="003D7396" w:rsidRPr="0071563F" w:rsidRDefault="003D7396" w:rsidP="00F47EFB">
      <w:pPr>
        <w:pStyle w:val="Prrafodelista"/>
        <w:numPr>
          <w:ilvl w:val="0"/>
          <w:numId w:val="21"/>
        </w:numPr>
        <w:tabs>
          <w:tab w:val="left" w:pos="0"/>
          <w:tab w:val="left" w:pos="36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MODELO DE RIESGO PAÍS</w:t>
      </w:r>
    </w:p>
    <w:p w14:paraId="19C31EA1" w14:textId="77777777" w:rsidR="003D7396" w:rsidRPr="0071563F" w:rsidRDefault="003D7396" w:rsidP="00F47EFB">
      <w:pPr>
        <w:tabs>
          <w:tab w:val="left" w:pos="0"/>
          <w:tab w:val="left" w:pos="709"/>
        </w:tabs>
        <w:jc w:val="both"/>
        <w:rPr>
          <w:rFonts w:ascii="Arial" w:hAnsi="Arial" w:cs="Arial"/>
          <w:b/>
          <w:sz w:val="18"/>
          <w:szCs w:val="18"/>
        </w:rPr>
      </w:pPr>
    </w:p>
    <w:p w14:paraId="6D7ABDB5"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Ámbito de aplicación</w:t>
      </w:r>
    </w:p>
    <w:p w14:paraId="18CCC3F0"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Categorías de riesgo país</w:t>
      </w:r>
    </w:p>
    <w:p w14:paraId="02859958"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sz w:val="18"/>
          <w:szCs w:val="18"/>
        </w:rPr>
      </w:pPr>
      <w:r w:rsidRPr="0071563F">
        <w:rPr>
          <w:rFonts w:ascii="Arial" w:hAnsi="Arial" w:cs="Arial"/>
          <w:bCs/>
          <w:sz w:val="18"/>
          <w:szCs w:val="18"/>
        </w:rPr>
        <w:t>Categoría A</w:t>
      </w:r>
    </w:p>
    <w:p w14:paraId="5A587F90"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Categoría B</w:t>
      </w:r>
    </w:p>
    <w:p w14:paraId="102292CE"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Categoría C</w:t>
      </w:r>
    </w:p>
    <w:p w14:paraId="1966AB00"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Categoría D</w:t>
      </w:r>
    </w:p>
    <w:p w14:paraId="12BAE164" w14:textId="77777777" w:rsidR="003D7396" w:rsidRPr="0071563F" w:rsidRDefault="003D7396" w:rsidP="00F47EFB">
      <w:pPr>
        <w:pStyle w:val="Prrafodelista"/>
        <w:numPr>
          <w:ilvl w:val="2"/>
          <w:numId w:val="21"/>
        </w:numPr>
        <w:tabs>
          <w:tab w:val="left" w:pos="426"/>
          <w:tab w:val="left" w:pos="540"/>
        </w:tabs>
        <w:spacing w:after="0" w:line="240" w:lineRule="auto"/>
        <w:ind w:left="0" w:firstLine="0"/>
        <w:contextualSpacing w:val="0"/>
        <w:jc w:val="both"/>
        <w:rPr>
          <w:rFonts w:ascii="Arial" w:hAnsi="Arial" w:cs="Arial"/>
          <w:bCs/>
          <w:sz w:val="18"/>
          <w:szCs w:val="18"/>
        </w:rPr>
      </w:pPr>
      <w:r w:rsidRPr="0071563F">
        <w:rPr>
          <w:rFonts w:ascii="Arial" w:hAnsi="Arial" w:cs="Arial"/>
          <w:bCs/>
          <w:sz w:val="18"/>
          <w:szCs w:val="18"/>
        </w:rPr>
        <w:t>Categoría E</w:t>
      </w:r>
    </w:p>
    <w:p w14:paraId="26656A42"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Ajuste por deterioro del valor de la inversión</w:t>
      </w:r>
    </w:p>
    <w:p w14:paraId="1BAA30E8" w14:textId="77777777" w:rsidR="003D7396" w:rsidRPr="0071563F"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71563F">
        <w:rPr>
          <w:rFonts w:ascii="Arial" w:hAnsi="Arial" w:cs="Arial"/>
          <w:b/>
          <w:sz w:val="18"/>
          <w:szCs w:val="18"/>
        </w:rPr>
        <w:t>Revelación del riesgo país</w:t>
      </w:r>
    </w:p>
    <w:p w14:paraId="6B230055" w14:textId="77777777" w:rsidR="003D7396" w:rsidRPr="000E73B7" w:rsidRDefault="003D7396" w:rsidP="00F47EFB">
      <w:pPr>
        <w:rPr>
          <w:rFonts w:ascii="Arial" w:hAnsi="Arial" w:cs="Arial"/>
          <w:sz w:val="10"/>
          <w:szCs w:val="10"/>
          <w:lang w:val="es-ES"/>
        </w:rPr>
      </w:pPr>
    </w:p>
    <w:p w14:paraId="38D0A4BB" w14:textId="77777777" w:rsidR="003D7396" w:rsidRPr="00F565CC" w:rsidRDefault="003D7396" w:rsidP="00F47EFB">
      <w:pPr>
        <w:pStyle w:val="Prrafodelista"/>
        <w:numPr>
          <w:ilvl w:val="0"/>
          <w:numId w:val="21"/>
        </w:numPr>
        <w:tabs>
          <w:tab w:val="left" w:pos="0"/>
          <w:tab w:val="left" w:pos="360"/>
        </w:tabs>
        <w:spacing w:after="0" w:line="240" w:lineRule="auto"/>
        <w:ind w:left="0" w:firstLine="0"/>
        <w:contextualSpacing w:val="0"/>
        <w:jc w:val="both"/>
        <w:rPr>
          <w:rFonts w:ascii="Arial" w:hAnsi="Arial" w:cs="Arial"/>
          <w:b/>
          <w:sz w:val="18"/>
          <w:szCs w:val="18"/>
        </w:rPr>
      </w:pPr>
      <w:r w:rsidRPr="00F565CC">
        <w:rPr>
          <w:rFonts w:ascii="Arial" w:hAnsi="Arial" w:cs="Arial"/>
          <w:b/>
          <w:sz w:val="18"/>
          <w:szCs w:val="18"/>
        </w:rPr>
        <w:t>MODELO DE RIESGO DE TASA DE INTER</w:t>
      </w:r>
      <w:r>
        <w:rPr>
          <w:rFonts w:ascii="Arial" w:hAnsi="Arial" w:cs="Arial"/>
          <w:b/>
          <w:sz w:val="18"/>
          <w:szCs w:val="18"/>
        </w:rPr>
        <w:t>É</w:t>
      </w:r>
      <w:r w:rsidRPr="00F565CC">
        <w:rPr>
          <w:rFonts w:ascii="Arial" w:hAnsi="Arial" w:cs="Arial"/>
          <w:b/>
          <w:sz w:val="18"/>
          <w:szCs w:val="18"/>
        </w:rPr>
        <w:t>S DEL LIBRO BANCARIO</w:t>
      </w:r>
    </w:p>
    <w:p w14:paraId="374C6A7B" w14:textId="77777777" w:rsidR="003D7396" w:rsidRPr="000E73B7" w:rsidRDefault="003D7396" w:rsidP="00F47EFB">
      <w:pPr>
        <w:tabs>
          <w:tab w:val="left" w:pos="0"/>
          <w:tab w:val="left" w:pos="567"/>
        </w:tabs>
        <w:jc w:val="both"/>
        <w:rPr>
          <w:rFonts w:ascii="Arial" w:hAnsi="Arial" w:cs="Arial"/>
          <w:b/>
          <w:sz w:val="10"/>
          <w:szCs w:val="10"/>
        </w:rPr>
      </w:pPr>
    </w:p>
    <w:p w14:paraId="099DD4A4" w14:textId="77777777" w:rsidR="003D7396" w:rsidRPr="00F565CC"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F565CC">
        <w:rPr>
          <w:rFonts w:ascii="Arial" w:hAnsi="Arial" w:cs="Arial"/>
          <w:b/>
          <w:sz w:val="18"/>
          <w:szCs w:val="18"/>
        </w:rPr>
        <w:t>Ámbito de aplicación</w:t>
      </w:r>
    </w:p>
    <w:p w14:paraId="06F356E5" w14:textId="77777777" w:rsidR="003D7396" w:rsidRPr="00F565CC"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F565CC">
        <w:rPr>
          <w:rFonts w:ascii="Arial" w:hAnsi="Arial" w:cs="Arial"/>
          <w:b/>
          <w:sz w:val="18"/>
          <w:szCs w:val="18"/>
        </w:rPr>
        <w:t>Metodología de medición</w:t>
      </w:r>
    </w:p>
    <w:p w14:paraId="40595553" w14:textId="77777777" w:rsidR="003D7396" w:rsidRPr="00325FDF" w:rsidRDefault="003D7396" w:rsidP="00F47EFB">
      <w:pPr>
        <w:pStyle w:val="Prrafodelista"/>
        <w:numPr>
          <w:ilvl w:val="2"/>
          <w:numId w:val="21"/>
        </w:numPr>
        <w:tabs>
          <w:tab w:val="right" w:pos="540"/>
        </w:tabs>
        <w:spacing w:after="0" w:line="240" w:lineRule="auto"/>
        <w:ind w:left="0" w:firstLine="0"/>
        <w:contextualSpacing w:val="0"/>
        <w:rPr>
          <w:rFonts w:ascii="Arial" w:hAnsi="Arial" w:cs="Arial"/>
          <w:bCs/>
          <w:sz w:val="18"/>
          <w:szCs w:val="18"/>
        </w:rPr>
      </w:pPr>
      <w:r w:rsidRPr="00325FDF">
        <w:rPr>
          <w:rFonts w:ascii="Arial" w:hAnsi="Arial" w:cs="Arial"/>
          <w:bCs/>
          <w:sz w:val="18"/>
          <w:szCs w:val="18"/>
        </w:rPr>
        <w:t>Modelo estándar de medición</w:t>
      </w:r>
    </w:p>
    <w:p w14:paraId="3E2B2B97" w14:textId="77777777" w:rsidR="003D7396" w:rsidRPr="00F565CC" w:rsidRDefault="003D7396" w:rsidP="00F47EFB">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F565CC">
        <w:rPr>
          <w:rFonts w:ascii="Arial" w:hAnsi="Arial" w:cs="Arial"/>
          <w:b/>
          <w:sz w:val="18"/>
          <w:szCs w:val="18"/>
        </w:rPr>
        <w:t>Revelación contable</w:t>
      </w:r>
    </w:p>
    <w:p w14:paraId="730B2CF5" w14:textId="28EB32B8" w:rsidR="0038713D" w:rsidRDefault="003D7396" w:rsidP="0038713D">
      <w:pPr>
        <w:pStyle w:val="Prrafodelista"/>
        <w:numPr>
          <w:ilvl w:val="1"/>
          <w:numId w:val="21"/>
        </w:numPr>
        <w:tabs>
          <w:tab w:val="left" w:pos="540"/>
        </w:tabs>
        <w:spacing w:after="0" w:line="240" w:lineRule="auto"/>
        <w:ind w:left="0" w:firstLine="0"/>
        <w:contextualSpacing w:val="0"/>
        <w:jc w:val="both"/>
        <w:rPr>
          <w:rFonts w:ascii="Arial" w:hAnsi="Arial" w:cs="Arial"/>
          <w:b/>
          <w:sz w:val="18"/>
          <w:szCs w:val="18"/>
        </w:rPr>
      </w:pPr>
      <w:r w:rsidRPr="00F565CC">
        <w:rPr>
          <w:rFonts w:ascii="Arial" w:hAnsi="Arial" w:cs="Arial"/>
          <w:b/>
          <w:sz w:val="18"/>
          <w:szCs w:val="18"/>
        </w:rPr>
        <w:t>Reportes a la SFC</w:t>
      </w:r>
    </w:p>
    <w:p w14:paraId="62057B7B" w14:textId="4A7D2CB2" w:rsidR="0038713D" w:rsidRDefault="0038713D" w:rsidP="0038713D">
      <w:pPr>
        <w:pStyle w:val="Prrafodelista"/>
        <w:tabs>
          <w:tab w:val="left" w:pos="540"/>
        </w:tabs>
        <w:spacing w:after="0" w:line="240" w:lineRule="auto"/>
        <w:ind w:left="0"/>
        <w:contextualSpacing w:val="0"/>
        <w:jc w:val="both"/>
        <w:rPr>
          <w:rFonts w:ascii="Arial" w:hAnsi="Arial" w:cs="Arial"/>
          <w:b/>
          <w:sz w:val="18"/>
          <w:szCs w:val="18"/>
        </w:rPr>
      </w:pPr>
    </w:p>
    <w:p w14:paraId="7F4B7744" w14:textId="3090C5D7" w:rsidR="0038713D" w:rsidRDefault="00E271D1" w:rsidP="00011F18">
      <w:pPr>
        <w:pStyle w:val="Prrafodelista"/>
        <w:numPr>
          <w:ilvl w:val="0"/>
          <w:numId w:val="21"/>
        </w:numPr>
        <w:pBdr>
          <w:left w:val="single" w:sz="4" w:space="4" w:color="auto"/>
        </w:pBdr>
        <w:tabs>
          <w:tab w:val="left" w:pos="0"/>
          <w:tab w:val="left" w:pos="360"/>
        </w:tabs>
        <w:spacing w:after="0" w:line="240" w:lineRule="auto"/>
        <w:ind w:left="0" w:firstLine="0"/>
        <w:contextualSpacing w:val="0"/>
        <w:jc w:val="both"/>
        <w:rPr>
          <w:rFonts w:ascii="Arial" w:hAnsi="Arial" w:cs="Arial"/>
          <w:b/>
          <w:sz w:val="18"/>
          <w:szCs w:val="18"/>
        </w:rPr>
      </w:pPr>
      <w:r>
        <w:rPr>
          <w:rFonts w:ascii="Arial" w:hAnsi="Arial" w:cs="Arial"/>
          <w:b/>
          <w:sz w:val="18"/>
          <w:szCs w:val="18"/>
        </w:rPr>
        <w:t>MODELO DE RIESGO DE CONTRAPARTE</w:t>
      </w:r>
    </w:p>
    <w:p w14:paraId="22A2F659" w14:textId="77777777" w:rsidR="00232F8A" w:rsidRPr="0038713D" w:rsidRDefault="00232F8A" w:rsidP="00011F18">
      <w:pPr>
        <w:pStyle w:val="Prrafodelista"/>
        <w:pBdr>
          <w:left w:val="single" w:sz="4" w:space="4" w:color="auto"/>
        </w:pBdr>
        <w:tabs>
          <w:tab w:val="left" w:pos="0"/>
          <w:tab w:val="left" w:pos="360"/>
        </w:tabs>
        <w:spacing w:after="0" w:line="240" w:lineRule="auto"/>
        <w:ind w:left="0"/>
        <w:contextualSpacing w:val="0"/>
        <w:jc w:val="both"/>
        <w:rPr>
          <w:rFonts w:ascii="Arial" w:hAnsi="Arial" w:cs="Arial"/>
          <w:b/>
          <w:sz w:val="18"/>
          <w:szCs w:val="18"/>
        </w:rPr>
      </w:pPr>
    </w:p>
    <w:p w14:paraId="002C236F" w14:textId="492DAADE" w:rsidR="003D7396" w:rsidRDefault="008D037C" w:rsidP="00011F18">
      <w:pPr>
        <w:pStyle w:val="Prrafodelista"/>
        <w:numPr>
          <w:ilvl w:val="1"/>
          <w:numId w:val="21"/>
        </w:numPr>
        <w:pBdr>
          <w:left w:val="single" w:sz="4" w:space="4" w:color="auto"/>
        </w:pBdr>
        <w:tabs>
          <w:tab w:val="left" w:pos="540"/>
        </w:tabs>
        <w:spacing w:after="0"/>
        <w:ind w:hanging="720"/>
        <w:jc w:val="both"/>
        <w:rPr>
          <w:rFonts w:ascii="Arial" w:hAnsi="Arial" w:cs="Arial"/>
          <w:b/>
          <w:sz w:val="18"/>
          <w:szCs w:val="18"/>
        </w:rPr>
      </w:pPr>
      <w:r>
        <w:rPr>
          <w:rFonts w:ascii="Arial" w:hAnsi="Arial" w:cs="Arial"/>
          <w:b/>
          <w:sz w:val="18"/>
          <w:szCs w:val="18"/>
        </w:rPr>
        <w:t>Ámbito de aplicación</w:t>
      </w:r>
    </w:p>
    <w:p w14:paraId="7800D997" w14:textId="1CD6FB71" w:rsidR="00104BCA" w:rsidRDefault="00104BCA" w:rsidP="00B26325">
      <w:pPr>
        <w:pStyle w:val="Prrafodelista"/>
        <w:numPr>
          <w:ilvl w:val="1"/>
          <w:numId w:val="21"/>
        </w:numPr>
        <w:pBdr>
          <w:left w:val="single" w:sz="4" w:space="4" w:color="auto"/>
        </w:pBdr>
        <w:tabs>
          <w:tab w:val="left" w:pos="540"/>
        </w:tabs>
        <w:spacing w:after="0"/>
        <w:ind w:hanging="720"/>
        <w:jc w:val="both"/>
        <w:rPr>
          <w:rFonts w:ascii="Arial" w:hAnsi="Arial" w:cs="Arial"/>
          <w:b/>
          <w:sz w:val="18"/>
          <w:szCs w:val="18"/>
        </w:rPr>
      </w:pPr>
      <w:r>
        <w:rPr>
          <w:rFonts w:ascii="Arial" w:hAnsi="Arial" w:cs="Arial"/>
          <w:b/>
          <w:sz w:val="18"/>
          <w:szCs w:val="18"/>
        </w:rPr>
        <w:t>Metodología de medición</w:t>
      </w:r>
    </w:p>
    <w:p w14:paraId="5EF9C1AE" w14:textId="2E882673" w:rsidR="00BD7AC5" w:rsidRDefault="00BD7AC5" w:rsidP="00F47EFB">
      <w:pPr>
        <w:pStyle w:val="Prrafodelista"/>
        <w:tabs>
          <w:tab w:val="left" w:pos="540"/>
        </w:tabs>
        <w:spacing w:after="0"/>
        <w:ind w:left="0"/>
        <w:jc w:val="both"/>
        <w:rPr>
          <w:rFonts w:ascii="Arial" w:hAnsi="Arial" w:cs="Arial"/>
          <w:b/>
          <w:sz w:val="18"/>
          <w:szCs w:val="18"/>
        </w:rPr>
      </w:pPr>
    </w:p>
    <w:p w14:paraId="74AC03EF" w14:textId="77777777" w:rsidR="002E7439" w:rsidRDefault="002E7439" w:rsidP="00F47EFB">
      <w:pPr>
        <w:pStyle w:val="Prrafodelista"/>
        <w:tabs>
          <w:tab w:val="left" w:pos="540"/>
        </w:tabs>
        <w:spacing w:after="0"/>
        <w:ind w:left="0"/>
        <w:jc w:val="both"/>
        <w:rPr>
          <w:rFonts w:ascii="Arial" w:hAnsi="Arial" w:cs="Arial"/>
          <w:b/>
          <w:sz w:val="18"/>
          <w:szCs w:val="18"/>
        </w:rPr>
      </w:pPr>
    </w:p>
    <w:p w14:paraId="57A4B7E0" w14:textId="77777777" w:rsidR="00BD7AC5" w:rsidRPr="00BD7AC5" w:rsidRDefault="00BD7AC5" w:rsidP="00FF3F2A">
      <w:pPr>
        <w:spacing w:after="0" w:line="240" w:lineRule="auto"/>
        <w:jc w:val="center"/>
        <w:rPr>
          <w:rFonts w:ascii="Arial" w:eastAsia="Times New Roman" w:hAnsi="Arial" w:cs="Arial"/>
          <w:b/>
          <w:sz w:val="18"/>
          <w:szCs w:val="18"/>
          <w:lang w:eastAsia="es-ES"/>
        </w:rPr>
      </w:pPr>
      <w:r w:rsidRPr="00BD7AC5">
        <w:rPr>
          <w:rFonts w:ascii="Arial" w:eastAsia="Times New Roman" w:hAnsi="Arial" w:cs="Arial"/>
          <w:b/>
          <w:sz w:val="18"/>
          <w:szCs w:val="18"/>
          <w:lang w:eastAsia="es-ES"/>
        </w:rPr>
        <w:t>PARTE IV.  AGREGACIÓN DE DATOS SOBRE RIESGOS Y PRESENTACIÓN DE INFORMES</w:t>
      </w:r>
    </w:p>
    <w:p w14:paraId="652EFF63" w14:textId="77777777" w:rsidR="00BD7AC5" w:rsidRPr="00BD7AC5" w:rsidRDefault="00BD7AC5" w:rsidP="00BD7AC5">
      <w:pPr>
        <w:spacing w:after="0" w:line="240" w:lineRule="auto"/>
        <w:jc w:val="center"/>
        <w:rPr>
          <w:rFonts w:ascii="Arial" w:eastAsia="Times New Roman" w:hAnsi="Arial" w:cs="Arial"/>
          <w:b/>
          <w:sz w:val="18"/>
          <w:szCs w:val="18"/>
          <w:lang w:eastAsia="es-ES"/>
        </w:rPr>
      </w:pPr>
    </w:p>
    <w:p w14:paraId="57087233" w14:textId="77777777" w:rsidR="00BD7AC5" w:rsidRPr="00BD7AC5" w:rsidRDefault="00BD7AC5" w:rsidP="00BD7AC5">
      <w:pPr>
        <w:spacing w:after="0" w:line="240" w:lineRule="auto"/>
        <w:jc w:val="center"/>
        <w:rPr>
          <w:rFonts w:ascii="Arial" w:eastAsia="Times New Roman" w:hAnsi="Arial" w:cs="Arial"/>
          <w:b/>
          <w:sz w:val="10"/>
          <w:szCs w:val="10"/>
          <w:lang w:eastAsia="es-ES"/>
        </w:rPr>
      </w:pPr>
    </w:p>
    <w:p w14:paraId="7A11E451" w14:textId="77777777" w:rsidR="00BD7AC5" w:rsidRPr="00BD7AC5" w:rsidRDefault="00BD7AC5" w:rsidP="00BD7AC5">
      <w:pPr>
        <w:spacing w:after="0" w:line="240" w:lineRule="auto"/>
        <w:rPr>
          <w:rFonts w:ascii="Arial" w:eastAsia="Times New Roman" w:hAnsi="Arial" w:cs="Arial"/>
          <w:b/>
          <w:sz w:val="18"/>
          <w:szCs w:val="18"/>
          <w:lang w:eastAsia="es-ES"/>
        </w:rPr>
      </w:pPr>
      <w:r w:rsidRPr="00BD7AC5">
        <w:rPr>
          <w:rFonts w:ascii="Arial" w:eastAsia="Times New Roman" w:hAnsi="Arial" w:cs="Arial"/>
          <w:b/>
          <w:sz w:val="18"/>
          <w:szCs w:val="18"/>
          <w:lang w:eastAsia="es-ES"/>
        </w:rPr>
        <w:t>1.  Definición de agregación de datos sobre riesgos</w:t>
      </w:r>
    </w:p>
    <w:p w14:paraId="1B70F6CE" w14:textId="77777777" w:rsidR="00BD7AC5" w:rsidRPr="00BD7AC5" w:rsidRDefault="00BD7AC5" w:rsidP="00BD7AC5">
      <w:pPr>
        <w:spacing w:after="0" w:line="240" w:lineRule="auto"/>
        <w:rPr>
          <w:rFonts w:ascii="Arial" w:eastAsia="Times New Roman" w:hAnsi="Arial" w:cs="Arial"/>
          <w:b/>
          <w:sz w:val="18"/>
          <w:szCs w:val="18"/>
          <w:lang w:eastAsia="es-ES"/>
        </w:rPr>
      </w:pPr>
      <w:r w:rsidRPr="00BD7AC5">
        <w:rPr>
          <w:rFonts w:ascii="Arial" w:eastAsia="Times New Roman" w:hAnsi="Arial" w:cs="Arial"/>
          <w:b/>
          <w:sz w:val="18"/>
          <w:szCs w:val="18"/>
          <w:lang w:eastAsia="es-ES"/>
        </w:rPr>
        <w:t>2.  Ámbito de aplicación</w:t>
      </w:r>
    </w:p>
    <w:p w14:paraId="57B90E95" w14:textId="77777777" w:rsidR="00BD7AC5" w:rsidRPr="00BD7AC5" w:rsidRDefault="00BD7AC5" w:rsidP="00BD7AC5">
      <w:pPr>
        <w:spacing w:after="0" w:line="240" w:lineRule="auto"/>
        <w:rPr>
          <w:rFonts w:ascii="Arial" w:eastAsia="Times New Roman" w:hAnsi="Arial" w:cs="Arial"/>
          <w:b/>
          <w:sz w:val="18"/>
          <w:szCs w:val="18"/>
          <w:lang w:eastAsia="es-ES"/>
        </w:rPr>
      </w:pPr>
      <w:r w:rsidRPr="00BD7AC5">
        <w:rPr>
          <w:rFonts w:ascii="Arial" w:eastAsia="Times New Roman" w:hAnsi="Arial" w:cs="Arial"/>
          <w:b/>
          <w:sz w:val="18"/>
          <w:szCs w:val="18"/>
          <w:lang w:eastAsia="es-ES"/>
        </w:rPr>
        <w:t>3.  Principios</w:t>
      </w:r>
    </w:p>
    <w:p w14:paraId="71714A7C" w14:textId="77777777" w:rsidR="00BD7AC5" w:rsidRPr="00BD7AC5" w:rsidRDefault="00BD7AC5" w:rsidP="00BD7AC5">
      <w:pPr>
        <w:spacing w:after="0" w:line="240" w:lineRule="auto"/>
        <w:rPr>
          <w:rFonts w:ascii="Arial" w:eastAsia="Times New Roman" w:hAnsi="Arial" w:cs="Arial"/>
          <w:sz w:val="18"/>
          <w:szCs w:val="18"/>
          <w:lang w:val="es-ES" w:eastAsia="es-ES"/>
        </w:rPr>
      </w:pPr>
    </w:p>
    <w:p w14:paraId="22436784" w14:textId="77777777" w:rsidR="00BD7AC5" w:rsidRPr="00BD7AC5" w:rsidRDefault="00BD7AC5" w:rsidP="00BD7AC5">
      <w:pPr>
        <w:spacing w:after="0" w:line="240" w:lineRule="auto"/>
        <w:rPr>
          <w:rFonts w:ascii="Arial" w:eastAsia="Times New Roman" w:hAnsi="Arial" w:cs="Arial"/>
          <w:sz w:val="10"/>
          <w:szCs w:val="10"/>
          <w:lang w:val="es-ES" w:eastAsia="es-ES"/>
        </w:rPr>
      </w:pPr>
    </w:p>
    <w:p w14:paraId="0EE6FF29" w14:textId="0745BDE4" w:rsidR="00BD7AC5" w:rsidRPr="00BD7AC5" w:rsidRDefault="00BD7AC5" w:rsidP="00FF3F2A">
      <w:pPr>
        <w:spacing w:after="0" w:line="240" w:lineRule="auto"/>
        <w:jc w:val="center"/>
        <w:rPr>
          <w:rFonts w:ascii="Arial" w:eastAsia="Times New Roman" w:hAnsi="Arial" w:cs="Arial"/>
          <w:b/>
          <w:sz w:val="18"/>
          <w:szCs w:val="18"/>
          <w:lang w:eastAsia="es-ES"/>
        </w:rPr>
        <w:sectPr w:rsidR="00BD7AC5" w:rsidRPr="00BD7AC5" w:rsidSect="00BD334E">
          <w:headerReference w:type="default" r:id="rId13"/>
          <w:pgSz w:w="12240" w:h="18720" w:code="120"/>
          <w:pgMar w:top="1418" w:right="1701" w:bottom="1418" w:left="1701" w:header="1134" w:footer="1134" w:gutter="0"/>
          <w:pgNumType w:start="1"/>
          <w:cols w:space="708"/>
          <w:docGrid w:linePitch="360"/>
        </w:sectPr>
      </w:pPr>
      <w:r w:rsidRPr="00BD7AC5">
        <w:rPr>
          <w:rFonts w:ascii="Arial" w:eastAsia="Times New Roman" w:hAnsi="Arial" w:cs="Arial"/>
          <w:b/>
          <w:sz w:val="18"/>
          <w:szCs w:val="18"/>
          <w:lang w:eastAsia="es-ES"/>
        </w:rPr>
        <w:t>PARTE V. DEFINICIONE</w:t>
      </w:r>
      <w:r w:rsidR="003B41A4">
        <w:rPr>
          <w:rFonts w:ascii="Arial" w:eastAsia="Times New Roman" w:hAnsi="Arial" w:cs="Arial"/>
          <w:b/>
          <w:sz w:val="18"/>
          <w:szCs w:val="18"/>
          <w:lang w:eastAsia="es-ES"/>
        </w:rPr>
        <w:t>S</w:t>
      </w:r>
    </w:p>
    <w:p w14:paraId="5DC58BDC" w14:textId="7C3D3025" w:rsidR="002A5F92" w:rsidRDefault="002A5F92" w:rsidP="00E37C0C">
      <w:pPr>
        <w:numPr>
          <w:ilvl w:val="0"/>
          <w:numId w:val="1"/>
        </w:numPr>
        <w:spacing w:after="0" w:line="240" w:lineRule="auto"/>
        <w:ind w:left="709" w:hanging="709"/>
        <w:jc w:val="both"/>
        <w:rPr>
          <w:rFonts w:ascii="Arial" w:eastAsia="Times New Roman" w:hAnsi="Arial" w:cs="Arial"/>
          <w:b/>
          <w:bCs/>
          <w:sz w:val="18"/>
          <w:szCs w:val="18"/>
          <w:lang w:eastAsia="es-ES"/>
        </w:rPr>
      </w:pPr>
      <w:r w:rsidRPr="26E3A651">
        <w:rPr>
          <w:rFonts w:ascii="Arial" w:eastAsia="Times New Roman" w:hAnsi="Arial" w:cs="Arial"/>
          <w:b/>
          <w:bCs/>
          <w:sz w:val="18"/>
          <w:szCs w:val="18"/>
          <w:lang w:eastAsia="es-ES"/>
        </w:rPr>
        <w:lastRenderedPageBreak/>
        <w:t>GESTIÓN DE RIESGO DE CONTRAPARTE</w:t>
      </w:r>
    </w:p>
    <w:p w14:paraId="76A45EBE" w14:textId="77777777" w:rsidR="00C44E4A" w:rsidRPr="000B31A5" w:rsidRDefault="00C44E4A" w:rsidP="00E37C0C">
      <w:pPr>
        <w:tabs>
          <w:tab w:val="left" w:pos="284"/>
        </w:tabs>
        <w:spacing w:after="0" w:line="240" w:lineRule="auto"/>
        <w:jc w:val="both"/>
        <w:rPr>
          <w:rFonts w:ascii="Arial" w:eastAsia="Times New Roman" w:hAnsi="Arial" w:cs="Arial"/>
          <w:b/>
          <w:sz w:val="18"/>
          <w:szCs w:val="18"/>
          <w:lang w:eastAsia="es-ES"/>
        </w:rPr>
      </w:pPr>
    </w:p>
    <w:p w14:paraId="78A57A71" w14:textId="35A28D54" w:rsidR="00AF5DB9" w:rsidRDefault="002A5F92" w:rsidP="00E37C0C">
      <w:pPr>
        <w:pStyle w:val="Prrafodelista"/>
        <w:numPr>
          <w:ilvl w:val="1"/>
          <w:numId w:val="1"/>
        </w:numPr>
        <w:ind w:left="709" w:hanging="709"/>
        <w:rPr>
          <w:rFonts w:ascii="Arial" w:hAnsi="Arial" w:cs="Arial"/>
          <w:b/>
          <w:bCs/>
          <w:sz w:val="18"/>
          <w:szCs w:val="18"/>
        </w:rPr>
      </w:pPr>
      <w:r w:rsidRPr="00C86A11">
        <w:rPr>
          <w:rFonts w:ascii="Arial" w:hAnsi="Arial" w:cs="Arial"/>
          <w:b/>
          <w:bCs/>
          <w:sz w:val="18"/>
          <w:szCs w:val="18"/>
        </w:rPr>
        <w:t>Generalidades</w:t>
      </w:r>
    </w:p>
    <w:p w14:paraId="60B240FE" w14:textId="77777777" w:rsidR="00D30B88" w:rsidRDefault="00D30B88" w:rsidP="00E37C0C">
      <w:pPr>
        <w:pStyle w:val="Prrafodelista"/>
        <w:ind w:left="567" w:hanging="567"/>
        <w:rPr>
          <w:rFonts w:ascii="Arial" w:hAnsi="Arial" w:cs="Arial"/>
          <w:b/>
          <w:bCs/>
          <w:sz w:val="18"/>
          <w:szCs w:val="18"/>
        </w:rPr>
      </w:pPr>
    </w:p>
    <w:p w14:paraId="32A71DE7" w14:textId="09FB37AC" w:rsidR="00EC2060" w:rsidRDefault="00EC2060" w:rsidP="00E37C0C">
      <w:pPr>
        <w:pStyle w:val="Prrafodelista"/>
        <w:numPr>
          <w:ilvl w:val="2"/>
          <w:numId w:val="1"/>
        </w:numPr>
        <w:rPr>
          <w:rFonts w:ascii="Arial" w:hAnsi="Arial" w:cs="Arial"/>
          <w:b/>
          <w:bCs/>
          <w:sz w:val="18"/>
          <w:szCs w:val="18"/>
        </w:rPr>
      </w:pPr>
      <w:r>
        <w:rPr>
          <w:rFonts w:ascii="Arial" w:hAnsi="Arial" w:cs="Arial"/>
          <w:b/>
          <w:bCs/>
          <w:sz w:val="18"/>
          <w:szCs w:val="18"/>
        </w:rPr>
        <w:t xml:space="preserve">Definición de riesgo de contraparte </w:t>
      </w:r>
    </w:p>
    <w:p w14:paraId="528963CC" w14:textId="684FD43F" w:rsidR="00EC2060" w:rsidRDefault="003353E3" w:rsidP="00E37C0C">
      <w:pPr>
        <w:jc w:val="both"/>
        <w:rPr>
          <w:rFonts w:ascii="Arial" w:eastAsia="Times New Roman" w:hAnsi="Arial" w:cs="Arial"/>
          <w:b/>
          <w:bCs/>
          <w:sz w:val="18"/>
          <w:szCs w:val="18"/>
          <w:lang w:eastAsia="es-ES"/>
        </w:rPr>
      </w:pPr>
      <w:r>
        <w:rPr>
          <w:rFonts w:ascii="Arial" w:eastAsia="Times New Roman" w:hAnsi="Arial" w:cs="Arial"/>
          <w:b/>
          <w:bCs/>
          <w:sz w:val="18"/>
          <w:szCs w:val="18"/>
          <w:lang w:eastAsia="es-ES"/>
        </w:rPr>
        <w:t>El riesgo de contraparte (</w:t>
      </w:r>
      <w:r w:rsidR="00EF27A9">
        <w:rPr>
          <w:rFonts w:ascii="Arial" w:eastAsia="Times New Roman" w:hAnsi="Arial" w:cs="Arial"/>
          <w:b/>
          <w:bCs/>
          <w:sz w:val="18"/>
          <w:szCs w:val="18"/>
          <w:lang w:eastAsia="es-ES"/>
        </w:rPr>
        <w:t xml:space="preserve">en adelante </w:t>
      </w:r>
      <w:r w:rsidR="000D4A08" w:rsidRPr="000D4A08">
        <w:rPr>
          <w:rFonts w:ascii="Arial" w:eastAsia="Times New Roman" w:hAnsi="Arial" w:cs="Arial"/>
          <w:b/>
          <w:bCs/>
          <w:sz w:val="18"/>
          <w:szCs w:val="18"/>
          <w:lang w:eastAsia="es-ES"/>
        </w:rPr>
        <w:t>«RiC»</w:t>
      </w:r>
      <w:r>
        <w:rPr>
          <w:rFonts w:ascii="Arial" w:eastAsia="Times New Roman" w:hAnsi="Arial" w:cs="Arial"/>
          <w:b/>
          <w:bCs/>
          <w:sz w:val="18"/>
          <w:szCs w:val="18"/>
          <w:lang w:eastAsia="es-ES"/>
        </w:rPr>
        <w:t>) e</w:t>
      </w:r>
      <w:r w:rsidR="00E27782" w:rsidRPr="26E3A651">
        <w:rPr>
          <w:rFonts w:ascii="Arial" w:eastAsia="Times New Roman" w:hAnsi="Arial" w:cs="Arial"/>
          <w:b/>
          <w:bCs/>
          <w:sz w:val="18"/>
          <w:szCs w:val="18"/>
          <w:lang w:eastAsia="es-ES"/>
        </w:rPr>
        <w:t xml:space="preserve">s la posibilidad de que una entidad incurra en pérdidas económicas o contables como consecuencia de: (i) el incumplimiento de una contraparte en una o varias operaciones; (ii) el incumplimiento de un cliente en sus obligaciones de pago o entrega para garantizar o cumplir una o varias operaciones; (iii) el incumplimiento de las obligaciones de una contraparte durante el plazo de una operación, y </w:t>
      </w:r>
      <w:r w:rsidR="00D841F2">
        <w:rPr>
          <w:rFonts w:ascii="Arial" w:eastAsia="Times New Roman" w:hAnsi="Arial" w:cs="Arial"/>
          <w:b/>
          <w:bCs/>
          <w:sz w:val="18"/>
          <w:szCs w:val="18"/>
          <w:lang w:eastAsia="es-ES"/>
        </w:rPr>
        <w:t xml:space="preserve">previo </w:t>
      </w:r>
      <w:r w:rsidR="00E27782" w:rsidRPr="26E3A651">
        <w:rPr>
          <w:rFonts w:ascii="Arial" w:eastAsia="Times New Roman" w:hAnsi="Arial" w:cs="Arial"/>
          <w:b/>
          <w:bCs/>
          <w:sz w:val="18"/>
          <w:szCs w:val="18"/>
          <w:lang w:eastAsia="es-ES"/>
        </w:rPr>
        <w:t>al cumplimiento; (iv) el deterioro de la calidad crediticia de una contraparte; y (v) el incumplimiento de los acuerdos celebrados entre un miembro liquidador y un miembro no liquidador para efectos del acceso a una CRCC.</w:t>
      </w:r>
    </w:p>
    <w:p w14:paraId="624E7590" w14:textId="34D925F8" w:rsidR="00883393" w:rsidRDefault="0068210F" w:rsidP="00E37C0C">
      <w:pPr>
        <w:jc w:val="both"/>
        <w:rPr>
          <w:rFonts w:ascii="Arial" w:eastAsia="Times New Roman" w:hAnsi="Arial" w:cs="Arial"/>
          <w:b/>
          <w:bCs/>
          <w:sz w:val="18"/>
          <w:szCs w:val="18"/>
          <w:lang w:eastAsia="es-ES"/>
        </w:rPr>
      </w:pPr>
      <w:r>
        <w:rPr>
          <w:rFonts w:ascii="Arial" w:eastAsia="Times New Roman" w:hAnsi="Arial" w:cs="Arial"/>
          <w:b/>
          <w:bCs/>
          <w:sz w:val="18"/>
          <w:szCs w:val="18"/>
          <w:lang w:eastAsia="es-ES"/>
        </w:rPr>
        <w:t xml:space="preserve">Para efectos </w:t>
      </w:r>
      <w:r w:rsidR="009F1FB0">
        <w:rPr>
          <w:rFonts w:ascii="Arial" w:eastAsia="Times New Roman" w:hAnsi="Arial" w:cs="Arial"/>
          <w:b/>
          <w:bCs/>
          <w:sz w:val="18"/>
          <w:szCs w:val="18"/>
          <w:lang w:eastAsia="es-ES"/>
        </w:rPr>
        <w:t>de</w:t>
      </w:r>
      <w:r w:rsidR="007E7EEA">
        <w:rPr>
          <w:rFonts w:ascii="Arial" w:eastAsia="Times New Roman" w:hAnsi="Arial" w:cs="Arial"/>
          <w:b/>
          <w:bCs/>
          <w:sz w:val="18"/>
          <w:szCs w:val="18"/>
          <w:lang w:eastAsia="es-ES"/>
        </w:rPr>
        <w:t>l presente numeral</w:t>
      </w:r>
      <w:r w:rsidR="009F1FB0">
        <w:rPr>
          <w:rFonts w:ascii="Arial" w:eastAsia="Times New Roman" w:hAnsi="Arial" w:cs="Arial"/>
          <w:b/>
          <w:bCs/>
          <w:sz w:val="18"/>
          <w:szCs w:val="18"/>
          <w:lang w:eastAsia="es-ES"/>
        </w:rPr>
        <w:t xml:space="preserve">, </w:t>
      </w:r>
      <w:r w:rsidR="009F1FB0" w:rsidRPr="26E3A651">
        <w:rPr>
          <w:rFonts w:ascii="Arial" w:eastAsia="Times New Roman" w:hAnsi="Arial" w:cs="Arial"/>
          <w:b/>
          <w:bCs/>
          <w:sz w:val="18"/>
          <w:szCs w:val="18"/>
          <w:lang w:eastAsia="es-ES"/>
        </w:rPr>
        <w:t>se</w:t>
      </w:r>
      <w:r w:rsidR="00C00534">
        <w:rPr>
          <w:rFonts w:ascii="Arial" w:eastAsia="Times New Roman" w:hAnsi="Arial" w:cs="Arial"/>
          <w:b/>
          <w:bCs/>
          <w:sz w:val="18"/>
          <w:szCs w:val="18"/>
          <w:lang w:eastAsia="es-ES"/>
        </w:rPr>
        <w:t xml:space="preserve"> deben tener cuenta </w:t>
      </w:r>
      <w:r w:rsidR="00883393">
        <w:rPr>
          <w:rFonts w:ascii="Arial" w:eastAsia="Times New Roman" w:hAnsi="Arial" w:cs="Arial"/>
          <w:b/>
          <w:bCs/>
          <w:sz w:val="18"/>
          <w:szCs w:val="18"/>
          <w:lang w:eastAsia="es-ES"/>
        </w:rPr>
        <w:t xml:space="preserve">los siguientes conceptos: </w:t>
      </w:r>
    </w:p>
    <w:p w14:paraId="3AFDBC00" w14:textId="0567030E" w:rsidR="00342C5C" w:rsidRDefault="00883393" w:rsidP="00E37C0C">
      <w:pPr>
        <w:pStyle w:val="Prrafodelista"/>
        <w:numPr>
          <w:ilvl w:val="0"/>
          <w:numId w:val="29"/>
        </w:numPr>
        <w:ind w:left="284" w:hanging="284"/>
        <w:jc w:val="both"/>
        <w:rPr>
          <w:rFonts w:ascii="Arial" w:eastAsia="Times New Roman" w:hAnsi="Arial" w:cs="Arial"/>
          <w:b/>
          <w:bCs/>
          <w:sz w:val="18"/>
          <w:szCs w:val="18"/>
          <w:lang w:eastAsia="es-ES"/>
        </w:rPr>
      </w:pPr>
      <w:r>
        <w:rPr>
          <w:rFonts w:ascii="Arial" w:eastAsia="Times New Roman" w:hAnsi="Arial" w:cs="Arial"/>
          <w:b/>
          <w:bCs/>
          <w:sz w:val="18"/>
          <w:szCs w:val="18"/>
          <w:lang w:eastAsia="es-ES"/>
        </w:rPr>
        <w:t xml:space="preserve">Incumplimiento: </w:t>
      </w:r>
      <w:r w:rsidR="008D4D21">
        <w:rPr>
          <w:rFonts w:ascii="Arial" w:eastAsia="Times New Roman" w:hAnsi="Arial" w:cs="Arial"/>
          <w:b/>
          <w:bCs/>
          <w:sz w:val="18"/>
          <w:szCs w:val="18"/>
          <w:lang w:eastAsia="es-ES"/>
        </w:rPr>
        <w:t>es</w:t>
      </w:r>
      <w:r w:rsidR="009F1FB0" w:rsidRPr="005B7D1F">
        <w:rPr>
          <w:rFonts w:ascii="Arial" w:eastAsia="Times New Roman" w:hAnsi="Arial" w:cs="Arial"/>
          <w:b/>
          <w:bCs/>
          <w:sz w:val="18"/>
          <w:szCs w:val="18"/>
          <w:lang w:eastAsia="es-ES"/>
        </w:rPr>
        <w:t xml:space="preserve"> todo evento en el cual, vencido el plazo para la liquidación de una operación, la contraparte </w:t>
      </w:r>
      <w:r w:rsidR="00866E5D" w:rsidRPr="005B7D1F">
        <w:rPr>
          <w:rFonts w:ascii="Arial" w:eastAsia="Times New Roman" w:hAnsi="Arial" w:cs="Arial"/>
          <w:b/>
          <w:bCs/>
          <w:sz w:val="18"/>
          <w:szCs w:val="18"/>
          <w:lang w:eastAsia="es-ES"/>
        </w:rPr>
        <w:t xml:space="preserve">o el tercero </w:t>
      </w:r>
      <w:r w:rsidR="009F1FB0" w:rsidRPr="005B7D1F">
        <w:rPr>
          <w:rFonts w:ascii="Arial" w:eastAsia="Times New Roman" w:hAnsi="Arial" w:cs="Arial"/>
          <w:b/>
          <w:bCs/>
          <w:sz w:val="18"/>
          <w:szCs w:val="18"/>
          <w:lang w:eastAsia="es-ES"/>
        </w:rPr>
        <w:t>no cumple con la entrega de lo pactado o debido</w:t>
      </w:r>
      <w:r w:rsidR="00C73A09">
        <w:rPr>
          <w:rFonts w:ascii="Arial" w:eastAsia="Times New Roman" w:hAnsi="Arial" w:cs="Arial"/>
          <w:b/>
          <w:bCs/>
          <w:sz w:val="18"/>
          <w:szCs w:val="18"/>
          <w:lang w:eastAsia="es-ES"/>
        </w:rPr>
        <w:t xml:space="preserve"> según lo acordado</w:t>
      </w:r>
      <w:r w:rsidR="009F1FB0" w:rsidRPr="005B7D1F">
        <w:rPr>
          <w:rFonts w:ascii="Arial" w:eastAsia="Times New Roman" w:hAnsi="Arial" w:cs="Arial"/>
          <w:b/>
          <w:bCs/>
          <w:sz w:val="18"/>
          <w:szCs w:val="18"/>
          <w:lang w:eastAsia="es-ES"/>
        </w:rPr>
        <w:t xml:space="preserve">. </w:t>
      </w:r>
      <w:r w:rsidR="00FE799A" w:rsidRPr="005B7D1F">
        <w:rPr>
          <w:rFonts w:ascii="Arial" w:eastAsia="Times New Roman" w:hAnsi="Arial" w:cs="Arial"/>
          <w:b/>
          <w:bCs/>
          <w:sz w:val="18"/>
          <w:szCs w:val="18"/>
          <w:lang w:eastAsia="es-ES"/>
        </w:rPr>
        <w:t>Este concepto también incluye el</w:t>
      </w:r>
      <w:r w:rsidR="009F1FB0" w:rsidRPr="005B7D1F">
        <w:rPr>
          <w:rFonts w:ascii="Arial" w:eastAsia="Times New Roman" w:hAnsi="Arial" w:cs="Arial"/>
          <w:b/>
          <w:bCs/>
          <w:sz w:val="18"/>
          <w:szCs w:val="18"/>
          <w:lang w:eastAsia="es-ES"/>
        </w:rPr>
        <w:t xml:space="preserve"> incumplimiento de las obligaciones de aportar garantías o de cualquier obligación que deba cumplirse de forma previa a la liquidación de una operación expuesta al RiC, así como cualquier evento en el cual deba procederse con la liquidación anticipada no voluntaria de una operación de acuerdo con la normatividad aplicable, tal como en el caso de procesos concursales, entre otros.</w:t>
      </w:r>
    </w:p>
    <w:p w14:paraId="354879BB" w14:textId="77777777" w:rsidR="00342C5C" w:rsidRDefault="00342C5C" w:rsidP="00E37C0C">
      <w:pPr>
        <w:pStyle w:val="Prrafodelista"/>
        <w:ind w:left="0"/>
        <w:jc w:val="both"/>
        <w:rPr>
          <w:rFonts w:ascii="Arial" w:eastAsia="Times New Roman" w:hAnsi="Arial" w:cs="Arial"/>
          <w:b/>
          <w:bCs/>
          <w:sz w:val="18"/>
          <w:szCs w:val="18"/>
          <w:lang w:eastAsia="es-ES"/>
        </w:rPr>
      </w:pPr>
    </w:p>
    <w:p w14:paraId="25B65BCF" w14:textId="36EEBF8F" w:rsidR="0068210F" w:rsidRDefault="00342C5C" w:rsidP="00E37C0C">
      <w:pPr>
        <w:pStyle w:val="Prrafodelista"/>
        <w:numPr>
          <w:ilvl w:val="0"/>
          <w:numId w:val="29"/>
        </w:numPr>
        <w:ind w:left="284" w:hanging="284"/>
        <w:jc w:val="both"/>
        <w:rPr>
          <w:rFonts w:ascii="Arial" w:eastAsia="Times New Roman" w:hAnsi="Arial" w:cs="Arial"/>
          <w:b/>
          <w:bCs/>
          <w:sz w:val="18"/>
          <w:szCs w:val="18"/>
          <w:lang w:eastAsia="es-ES"/>
        </w:rPr>
      </w:pPr>
      <w:r>
        <w:rPr>
          <w:rFonts w:ascii="Arial" w:eastAsia="Times New Roman" w:hAnsi="Arial" w:cs="Arial"/>
          <w:b/>
          <w:bCs/>
          <w:sz w:val="18"/>
          <w:szCs w:val="18"/>
          <w:lang w:eastAsia="es-ES"/>
        </w:rPr>
        <w:t>Tercero: es</w:t>
      </w:r>
      <w:r w:rsidR="00866E5D" w:rsidRPr="005B7D1F">
        <w:rPr>
          <w:rFonts w:ascii="Arial" w:eastAsia="Times New Roman" w:hAnsi="Arial" w:cs="Arial"/>
          <w:b/>
          <w:bCs/>
          <w:sz w:val="18"/>
          <w:szCs w:val="18"/>
          <w:lang w:eastAsia="es-ES"/>
        </w:rPr>
        <w:t xml:space="preserve"> toda</w:t>
      </w:r>
      <w:r w:rsidR="003D5870" w:rsidRPr="005B7D1F">
        <w:rPr>
          <w:rFonts w:ascii="Arial" w:eastAsia="Times New Roman" w:hAnsi="Arial" w:cs="Arial"/>
          <w:b/>
          <w:bCs/>
          <w:sz w:val="18"/>
          <w:szCs w:val="18"/>
          <w:lang w:eastAsia="es-ES"/>
        </w:rPr>
        <w:t xml:space="preserve"> persona natural o jurídica o estructura sin personería jurídica que por intermedio de una entidad vigilada</w:t>
      </w:r>
      <w:r w:rsidR="00B15B11" w:rsidRPr="005B7D1F">
        <w:rPr>
          <w:rFonts w:ascii="Arial" w:eastAsia="Times New Roman" w:hAnsi="Arial" w:cs="Arial"/>
          <w:b/>
          <w:bCs/>
          <w:sz w:val="18"/>
          <w:szCs w:val="18"/>
          <w:lang w:eastAsia="es-ES"/>
        </w:rPr>
        <w:t xml:space="preserve"> realiza</w:t>
      </w:r>
      <w:r w:rsidR="003D5870" w:rsidRPr="005B7D1F">
        <w:rPr>
          <w:rFonts w:ascii="Arial" w:eastAsia="Times New Roman" w:hAnsi="Arial" w:cs="Arial"/>
          <w:b/>
          <w:bCs/>
          <w:sz w:val="18"/>
          <w:szCs w:val="18"/>
          <w:lang w:eastAsia="es-ES"/>
        </w:rPr>
        <w:t xml:space="preserve"> operaciones en un sistema de negociación o registro, una bolsa o en el mercado mostrador,</w:t>
      </w:r>
      <w:r w:rsidR="00867D9A">
        <w:rPr>
          <w:rFonts w:ascii="Arial" w:eastAsia="Times New Roman" w:hAnsi="Arial" w:cs="Arial"/>
          <w:b/>
          <w:bCs/>
          <w:sz w:val="18"/>
          <w:szCs w:val="18"/>
          <w:lang w:eastAsia="es-ES"/>
        </w:rPr>
        <w:t xml:space="preserve"> de acuerdo con su </w:t>
      </w:r>
      <w:r w:rsidR="00C60697">
        <w:rPr>
          <w:rFonts w:ascii="Arial" w:eastAsia="Times New Roman" w:hAnsi="Arial" w:cs="Arial"/>
          <w:b/>
          <w:bCs/>
          <w:sz w:val="18"/>
          <w:szCs w:val="18"/>
          <w:lang w:eastAsia="es-ES"/>
        </w:rPr>
        <w:t>régimen legal</w:t>
      </w:r>
      <w:r w:rsidR="003D5870" w:rsidRPr="005B7D1F">
        <w:rPr>
          <w:rFonts w:ascii="Arial" w:eastAsia="Times New Roman" w:hAnsi="Arial" w:cs="Arial"/>
          <w:b/>
          <w:bCs/>
          <w:sz w:val="18"/>
          <w:szCs w:val="18"/>
          <w:lang w:eastAsia="es-ES"/>
        </w:rPr>
        <w:t>.</w:t>
      </w:r>
      <w:r w:rsidR="00DD79ED">
        <w:rPr>
          <w:rFonts w:ascii="Arial" w:eastAsia="Times New Roman" w:hAnsi="Arial" w:cs="Arial"/>
          <w:b/>
          <w:bCs/>
          <w:sz w:val="18"/>
          <w:szCs w:val="18"/>
          <w:lang w:eastAsia="es-ES"/>
        </w:rPr>
        <w:t xml:space="preserve"> </w:t>
      </w:r>
      <w:r w:rsidR="00E5136B">
        <w:rPr>
          <w:rFonts w:ascii="Arial" w:eastAsia="Times New Roman" w:hAnsi="Arial" w:cs="Arial"/>
          <w:b/>
          <w:bCs/>
          <w:sz w:val="18"/>
          <w:szCs w:val="18"/>
          <w:lang w:eastAsia="es-ES"/>
        </w:rPr>
        <w:t>También</w:t>
      </w:r>
      <w:r w:rsidR="00E5136B" w:rsidRPr="005B7D1F">
        <w:rPr>
          <w:rFonts w:ascii="Arial" w:eastAsia="Times New Roman" w:hAnsi="Arial" w:cs="Arial"/>
          <w:b/>
          <w:bCs/>
          <w:sz w:val="18"/>
          <w:szCs w:val="18"/>
          <w:lang w:eastAsia="es-ES"/>
        </w:rPr>
        <w:t xml:space="preserve"> </w:t>
      </w:r>
      <w:r w:rsidR="00E5136B">
        <w:rPr>
          <w:rFonts w:ascii="Arial" w:eastAsia="Times New Roman" w:hAnsi="Arial" w:cs="Arial"/>
          <w:b/>
          <w:bCs/>
          <w:sz w:val="18"/>
          <w:szCs w:val="18"/>
          <w:lang w:eastAsia="es-ES"/>
        </w:rPr>
        <w:t xml:space="preserve">son terceros </w:t>
      </w:r>
      <w:r w:rsidR="003D5870" w:rsidRPr="005B7D1F">
        <w:rPr>
          <w:rFonts w:ascii="Arial" w:eastAsia="Times New Roman" w:hAnsi="Arial" w:cs="Arial"/>
          <w:b/>
          <w:bCs/>
          <w:sz w:val="18"/>
          <w:szCs w:val="18"/>
          <w:lang w:eastAsia="es-ES"/>
        </w:rPr>
        <w:t>los vehículos de inversión administrados por sociedades administradoras de recursos terceros.</w:t>
      </w:r>
    </w:p>
    <w:p w14:paraId="57D6BA52" w14:textId="77777777" w:rsidR="00342C5C" w:rsidRPr="005B7D1F" w:rsidRDefault="00342C5C" w:rsidP="00E37C0C">
      <w:pPr>
        <w:pStyle w:val="Prrafodelista"/>
        <w:ind w:left="0"/>
        <w:rPr>
          <w:rFonts w:ascii="Arial" w:eastAsia="Times New Roman" w:hAnsi="Arial" w:cs="Arial"/>
          <w:b/>
          <w:bCs/>
          <w:sz w:val="18"/>
          <w:szCs w:val="18"/>
          <w:lang w:eastAsia="es-ES"/>
        </w:rPr>
      </w:pPr>
    </w:p>
    <w:p w14:paraId="3CA1E946" w14:textId="182BA7E5" w:rsidR="00C15DDE" w:rsidRDefault="00342C5C" w:rsidP="00E37C0C">
      <w:pPr>
        <w:pStyle w:val="Prrafodelista"/>
        <w:numPr>
          <w:ilvl w:val="0"/>
          <w:numId w:val="29"/>
        </w:numPr>
        <w:ind w:left="284" w:hanging="284"/>
        <w:jc w:val="both"/>
        <w:rPr>
          <w:rFonts w:ascii="Arial" w:eastAsia="Times New Roman" w:hAnsi="Arial" w:cs="Arial"/>
          <w:b/>
          <w:bCs/>
          <w:sz w:val="18"/>
          <w:szCs w:val="18"/>
          <w:lang w:eastAsia="es-ES"/>
        </w:rPr>
      </w:pPr>
      <w:r>
        <w:rPr>
          <w:rFonts w:ascii="Arial" w:eastAsia="Times New Roman" w:hAnsi="Arial" w:cs="Arial"/>
          <w:b/>
          <w:bCs/>
          <w:sz w:val="18"/>
          <w:szCs w:val="18"/>
          <w:lang w:eastAsia="es-ES"/>
        </w:rPr>
        <w:t>Contra</w:t>
      </w:r>
      <w:r w:rsidR="0062303C">
        <w:rPr>
          <w:rFonts w:ascii="Arial" w:eastAsia="Times New Roman" w:hAnsi="Arial" w:cs="Arial"/>
          <w:b/>
          <w:bCs/>
          <w:sz w:val="18"/>
          <w:szCs w:val="18"/>
          <w:lang w:eastAsia="es-ES"/>
        </w:rPr>
        <w:t xml:space="preserve">parte: es </w:t>
      </w:r>
      <w:r w:rsidR="00DE6D93" w:rsidRPr="005B7D1F">
        <w:rPr>
          <w:rFonts w:ascii="Arial" w:eastAsia="Times New Roman" w:hAnsi="Arial" w:cs="Arial"/>
          <w:b/>
          <w:bCs/>
          <w:sz w:val="18"/>
          <w:szCs w:val="18"/>
          <w:lang w:eastAsia="es-ES"/>
        </w:rPr>
        <w:t>toda</w:t>
      </w:r>
      <w:r w:rsidR="00C15DDE" w:rsidRPr="005B7D1F">
        <w:rPr>
          <w:rFonts w:ascii="Arial" w:eastAsia="Times New Roman" w:hAnsi="Arial" w:cs="Arial"/>
          <w:b/>
          <w:bCs/>
          <w:sz w:val="18"/>
          <w:szCs w:val="18"/>
          <w:lang w:eastAsia="es-ES"/>
        </w:rPr>
        <w:t xml:space="preserve"> persona natural o jurídica o estructura sin personería jurídica</w:t>
      </w:r>
      <w:r w:rsidR="00A42B7E" w:rsidRPr="005B7D1F">
        <w:rPr>
          <w:rFonts w:ascii="Arial" w:eastAsia="Times New Roman" w:hAnsi="Arial" w:cs="Arial"/>
          <w:b/>
          <w:bCs/>
          <w:sz w:val="18"/>
          <w:szCs w:val="18"/>
          <w:lang w:eastAsia="es-ES"/>
        </w:rPr>
        <w:t xml:space="preserve"> </w:t>
      </w:r>
      <w:r w:rsidR="00C15DDE" w:rsidRPr="005B7D1F">
        <w:rPr>
          <w:rFonts w:ascii="Arial" w:eastAsia="Times New Roman" w:hAnsi="Arial" w:cs="Arial"/>
          <w:b/>
          <w:bCs/>
          <w:sz w:val="18"/>
          <w:szCs w:val="18"/>
          <w:lang w:eastAsia="es-ES"/>
        </w:rPr>
        <w:t>con quien las entidades vigiladas celebran operaciones por cuenta propia o por cuenta de terceros, ya sea en un sistema de negociación</w:t>
      </w:r>
      <w:r w:rsidR="00723CD2">
        <w:rPr>
          <w:rFonts w:ascii="Arial" w:eastAsia="Times New Roman" w:hAnsi="Arial" w:cs="Arial"/>
          <w:b/>
          <w:bCs/>
          <w:sz w:val="18"/>
          <w:szCs w:val="18"/>
          <w:lang w:eastAsia="es-ES"/>
        </w:rPr>
        <w:t xml:space="preserve"> </w:t>
      </w:r>
      <w:r w:rsidR="00C15DDE" w:rsidRPr="005B7D1F">
        <w:rPr>
          <w:rFonts w:ascii="Arial" w:eastAsia="Times New Roman" w:hAnsi="Arial" w:cs="Arial"/>
          <w:b/>
          <w:bCs/>
          <w:sz w:val="18"/>
          <w:szCs w:val="18"/>
          <w:lang w:eastAsia="es-ES"/>
        </w:rPr>
        <w:t>o registro, bolsa o en el mercado mostrador.</w:t>
      </w:r>
    </w:p>
    <w:p w14:paraId="134656AB" w14:textId="77777777" w:rsidR="004073B8" w:rsidRDefault="004073B8" w:rsidP="00E37C0C">
      <w:pPr>
        <w:pStyle w:val="Prrafodelista"/>
        <w:ind w:left="0"/>
        <w:rPr>
          <w:rFonts w:ascii="Arial" w:hAnsi="Arial" w:cs="Arial"/>
          <w:b/>
          <w:bCs/>
          <w:sz w:val="18"/>
          <w:szCs w:val="18"/>
        </w:rPr>
      </w:pPr>
    </w:p>
    <w:p w14:paraId="4E363167" w14:textId="3FF0C870" w:rsidR="00AF5DB9" w:rsidRPr="00160940" w:rsidRDefault="002A5F92" w:rsidP="00E37C0C">
      <w:pPr>
        <w:pStyle w:val="Prrafodelista"/>
        <w:numPr>
          <w:ilvl w:val="2"/>
          <w:numId w:val="1"/>
        </w:numPr>
        <w:ind w:left="709" w:hanging="709"/>
        <w:rPr>
          <w:rFonts w:ascii="Arial" w:hAnsi="Arial" w:cs="Arial"/>
          <w:b/>
          <w:bCs/>
          <w:sz w:val="18"/>
          <w:szCs w:val="18"/>
        </w:rPr>
      </w:pPr>
      <w:r w:rsidRPr="00160940">
        <w:rPr>
          <w:rFonts w:ascii="Arial" w:hAnsi="Arial" w:cs="Arial"/>
          <w:b/>
          <w:bCs/>
          <w:sz w:val="18"/>
          <w:szCs w:val="18"/>
        </w:rPr>
        <w:t xml:space="preserve">Ámbito de aplicación </w:t>
      </w:r>
    </w:p>
    <w:p w14:paraId="7AADBF49" w14:textId="72E56BF7" w:rsidR="009C3248" w:rsidRPr="00160940" w:rsidRDefault="00007E8D" w:rsidP="00E37C0C">
      <w:pPr>
        <w:jc w:val="both"/>
        <w:rPr>
          <w:rFonts w:ascii="Arial" w:hAnsi="Arial" w:cs="Arial"/>
          <w:b/>
          <w:bCs/>
          <w:sz w:val="18"/>
          <w:szCs w:val="18"/>
        </w:rPr>
      </w:pPr>
      <w:r w:rsidRPr="00160940">
        <w:rPr>
          <w:rFonts w:ascii="Arial" w:hAnsi="Arial" w:cs="Arial"/>
          <w:b/>
          <w:bCs/>
          <w:sz w:val="18"/>
          <w:szCs w:val="18"/>
        </w:rPr>
        <w:t>L</w:t>
      </w:r>
      <w:r w:rsidR="00377A48" w:rsidRPr="00160940">
        <w:rPr>
          <w:rFonts w:ascii="Arial" w:hAnsi="Arial" w:cs="Arial"/>
          <w:b/>
          <w:bCs/>
          <w:sz w:val="18"/>
          <w:szCs w:val="18"/>
        </w:rPr>
        <w:t>as instrucciones del presente numeral s</w:t>
      </w:r>
      <w:r w:rsidRPr="00160940">
        <w:rPr>
          <w:rFonts w:ascii="Arial" w:hAnsi="Arial" w:cs="Arial"/>
          <w:b/>
          <w:bCs/>
          <w:sz w:val="18"/>
          <w:szCs w:val="18"/>
        </w:rPr>
        <w:t xml:space="preserve">on aplicables a las entidades </w:t>
      </w:r>
      <w:r w:rsidR="00377A48" w:rsidRPr="00160940">
        <w:rPr>
          <w:rFonts w:ascii="Arial" w:hAnsi="Arial" w:cs="Arial"/>
          <w:b/>
          <w:bCs/>
          <w:sz w:val="18"/>
          <w:szCs w:val="18"/>
        </w:rPr>
        <w:t>sometidas a inspección y vigilancia de la SFC que</w:t>
      </w:r>
      <w:r w:rsidR="00AD521D" w:rsidRPr="00160940">
        <w:rPr>
          <w:rFonts w:ascii="Arial" w:hAnsi="Arial" w:cs="Arial"/>
          <w:b/>
          <w:bCs/>
          <w:sz w:val="18"/>
          <w:szCs w:val="18"/>
        </w:rPr>
        <w:t>,</w:t>
      </w:r>
      <w:r w:rsidR="00377A48" w:rsidRPr="00160940">
        <w:rPr>
          <w:rFonts w:ascii="Arial" w:hAnsi="Arial" w:cs="Arial"/>
          <w:b/>
          <w:bCs/>
          <w:sz w:val="18"/>
          <w:szCs w:val="18"/>
        </w:rPr>
        <w:t xml:space="preserve"> en el marco de su régimen legal</w:t>
      </w:r>
      <w:r w:rsidR="00AD521D" w:rsidRPr="00160940">
        <w:rPr>
          <w:rFonts w:ascii="Arial" w:hAnsi="Arial" w:cs="Arial"/>
          <w:b/>
          <w:bCs/>
          <w:sz w:val="18"/>
          <w:szCs w:val="18"/>
        </w:rPr>
        <w:t>,</w:t>
      </w:r>
      <w:r w:rsidR="00377A48" w:rsidRPr="00160940">
        <w:rPr>
          <w:rFonts w:ascii="Arial" w:hAnsi="Arial" w:cs="Arial"/>
          <w:b/>
          <w:bCs/>
          <w:sz w:val="18"/>
          <w:szCs w:val="18"/>
        </w:rPr>
        <w:t xml:space="preserve"> celebren</w:t>
      </w:r>
      <w:r w:rsidR="003D7104" w:rsidRPr="00160940">
        <w:rPr>
          <w:rFonts w:ascii="Arial" w:hAnsi="Arial" w:cs="Arial"/>
          <w:b/>
          <w:bCs/>
          <w:sz w:val="18"/>
          <w:szCs w:val="18"/>
        </w:rPr>
        <w:t xml:space="preserve"> operaci</w:t>
      </w:r>
      <w:r w:rsidR="00451F0F">
        <w:rPr>
          <w:rFonts w:ascii="Arial" w:hAnsi="Arial" w:cs="Arial"/>
          <w:b/>
          <w:bCs/>
          <w:sz w:val="18"/>
          <w:szCs w:val="18"/>
        </w:rPr>
        <w:t>o</w:t>
      </w:r>
      <w:r w:rsidR="006C6B59" w:rsidRPr="00160940">
        <w:rPr>
          <w:rFonts w:ascii="Arial" w:hAnsi="Arial" w:cs="Arial"/>
          <w:b/>
          <w:bCs/>
          <w:sz w:val="18"/>
          <w:szCs w:val="18"/>
        </w:rPr>
        <w:t>n</w:t>
      </w:r>
      <w:r w:rsidR="00451F0F">
        <w:rPr>
          <w:rFonts w:ascii="Arial" w:hAnsi="Arial" w:cs="Arial"/>
          <w:b/>
          <w:bCs/>
          <w:sz w:val="18"/>
          <w:szCs w:val="18"/>
        </w:rPr>
        <w:t>es</w:t>
      </w:r>
      <w:r w:rsidR="00AD521D" w:rsidRPr="00160940">
        <w:rPr>
          <w:rFonts w:ascii="Arial" w:hAnsi="Arial" w:cs="Arial"/>
          <w:b/>
          <w:bCs/>
          <w:sz w:val="18"/>
          <w:szCs w:val="18"/>
        </w:rPr>
        <w:t xml:space="preserve"> expuesta</w:t>
      </w:r>
      <w:r w:rsidR="00451F0F">
        <w:rPr>
          <w:rFonts w:ascii="Arial" w:hAnsi="Arial" w:cs="Arial"/>
          <w:b/>
          <w:bCs/>
          <w:sz w:val="18"/>
          <w:szCs w:val="18"/>
        </w:rPr>
        <w:t>s</w:t>
      </w:r>
      <w:r w:rsidR="00AD521D" w:rsidRPr="00160940">
        <w:rPr>
          <w:rFonts w:ascii="Arial" w:hAnsi="Arial" w:cs="Arial"/>
          <w:b/>
          <w:bCs/>
          <w:sz w:val="18"/>
          <w:szCs w:val="18"/>
        </w:rPr>
        <w:t xml:space="preserve"> a RiC</w:t>
      </w:r>
      <w:r w:rsidR="006C6B59" w:rsidRPr="00160940">
        <w:rPr>
          <w:rFonts w:ascii="Arial" w:hAnsi="Arial" w:cs="Arial"/>
          <w:b/>
          <w:bCs/>
          <w:sz w:val="18"/>
          <w:szCs w:val="18"/>
        </w:rPr>
        <w:t xml:space="preserve"> sobre valores, </w:t>
      </w:r>
      <w:r w:rsidR="00381C1A" w:rsidRPr="00160940">
        <w:rPr>
          <w:rFonts w:ascii="Arial" w:hAnsi="Arial" w:cs="Arial"/>
          <w:b/>
          <w:bCs/>
          <w:i/>
          <w:iCs/>
          <w:sz w:val="18"/>
          <w:szCs w:val="18"/>
        </w:rPr>
        <w:t>commodities</w:t>
      </w:r>
      <w:r w:rsidR="007E133C" w:rsidRPr="00160940">
        <w:rPr>
          <w:rFonts w:ascii="Arial" w:hAnsi="Arial" w:cs="Arial"/>
          <w:b/>
          <w:bCs/>
          <w:sz w:val="18"/>
          <w:szCs w:val="18"/>
        </w:rPr>
        <w:t>,</w:t>
      </w:r>
      <w:r w:rsidR="00D34671" w:rsidRPr="00160940">
        <w:rPr>
          <w:rFonts w:ascii="Arial" w:hAnsi="Arial" w:cs="Arial"/>
          <w:b/>
          <w:bCs/>
          <w:sz w:val="18"/>
          <w:szCs w:val="18"/>
        </w:rPr>
        <w:t xml:space="preserve"> </w:t>
      </w:r>
      <w:r w:rsidR="00381C1A" w:rsidRPr="00160940">
        <w:rPr>
          <w:rFonts w:ascii="Arial" w:hAnsi="Arial" w:cs="Arial"/>
          <w:b/>
          <w:bCs/>
          <w:sz w:val="18"/>
          <w:szCs w:val="18"/>
        </w:rPr>
        <w:t>divisas</w:t>
      </w:r>
      <w:r w:rsidR="007E133C" w:rsidRPr="00160940">
        <w:rPr>
          <w:rFonts w:ascii="Arial" w:hAnsi="Arial" w:cs="Arial"/>
          <w:b/>
          <w:bCs/>
          <w:sz w:val="18"/>
          <w:szCs w:val="18"/>
        </w:rPr>
        <w:t>, entre otros,</w:t>
      </w:r>
      <w:r w:rsidR="00377A48" w:rsidRPr="00160940">
        <w:rPr>
          <w:rFonts w:ascii="Arial" w:hAnsi="Arial" w:cs="Arial"/>
          <w:b/>
          <w:bCs/>
          <w:sz w:val="18"/>
          <w:szCs w:val="18"/>
        </w:rPr>
        <w:t xml:space="preserve"> por cuenta propia o de </w:t>
      </w:r>
      <w:r w:rsidR="00E44B2F" w:rsidRPr="00160940">
        <w:rPr>
          <w:rFonts w:ascii="Arial" w:hAnsi="Arial" w:cs="Arial"/>
          <w:b/>
          <w:bCs/>
          <w:sz w:val="18"/>
          <w:szCs w:val="18"/>
        </w:rPr>
        <w:t>terceros</w:t>
      </w:r>
      <w:r w:rsidR="004C1132" w:rsidRPr="00160940">
        <w:rPr>
          <w:rFonts w:ascii="Arial" w:hAnsi="Arial" w:cs="Arial"/>
          <w:b/>
          <w:bCs/>
          <w:sz w:val="18"/>
          <w:szCs w:val="18"/>
        </w:rPr>
        <w:t>.</w:t>
      </w:r>
    </w:p>
    <w:p w14:paraId="7386C4DA" w14:textId="1EC2770F" w:rsidR="003F1B84" w:rsidRPr="00160940" w:rsidRDefault="00020371" w:rsidP="00E37C0C">
      <w:pPr>
        <w:jc w:val="both"/>
        <w:rPr>
          <w:rFonts w:ascii="Arial" w:hAnsi="Arial" w:cs="Arial"/>
          <w:b/>
          <w:bCs/>
          <w:sz w:val="18"/>
          <w:szCs w:val="18"/>
        </w:rPr>
      </w:pPr>
      <w:r w:rsidRPr="00160940">
        <w:rPr>
          <w:rFonts w:ascii="Arial" w:hAnsi="Arial" w:cs="Arial"/>
          <w:b/>
          <w:bCs/>
          <w:sz w:val="18"/>
          <w:szCs w:val="18"/>
        </w:rPr>
        <w:t xml:space="preserve">Para </w:t>
      </w:r>
      <w:r w:rsidR="00D4356F" w:rsidRPr="00160940">
        <w:rPr>
          <w:rFonts w:ascii="Arial" w:hAnsi="Arial" w:cs="Arial"/>
          <w:b/>
          <w:bCs/>
          <w:sz w:val="18"/>
          <w:szCs w:val="18"/>
        </w:rPr>
        <w:t>efectos</w:t>
      </w:r>
      <w:r w:rsidR="0070276B">
        <w:rPr>
          <w:rFonts w:ascii="Arial" w:hAnsi="Arial" w:cs="Arial"/>
          <w:b/>
          <w:bCs/>
          <w:sz w:val="18"/>
          <w:szCs w:val="18"/>
        </w:rPr>
        <w:t xml:space="preserve"> del presente numeral</w:t>
      </w:r>
      <w:r w:rsidR="00D4356F" w:rsidRPr="00160940">
        <w:rPr>
          <w:rFonts w:ascii="Arial" w:hAnsi="Arial" w:cs="Arial"/>
          <w:b/>
          <w:bCs/>
          <w:sz w:val="18"/>
          <w:szCs w:val="18"/>
        </w:rPr>
        <w:t xml:space="preserve">, se consideran </w:t>
      </w:r>
      <w:r w:rsidR="00F74BA9" w:rsidRPr="00160940">
        <w:rPr>
          <w:rFonts w:ascii="Arial" w:hAnsi="Arial" w:cs="Arial"/>
          <w:b/>
          <w:bCs/>
          <w:sz w:val="18"/>
          <w:szCs w:val="18"/>
        </w:rPr>
        <w:t>o</w:t>
      </w:r>
      <w:r w:rsidR="00D4356F" w:rsidRPr="00160940">
        <w:rPr>
          <w:rFonts w:ascii="Arial" w:hAnsi="Arial" w:cs="Arial"/>
          <w:b/>
          <w:bCs/>
          <w:sz w:val="18"/>
          <w:szCs w:val="18"/>
        </w:rPr>
        <w:t xml:space="preserve">peraciones </w:t>
      </w:r>
      <w:r w:rsidR="00F74BA9" w:rsidRPr="00160940">
        <w:rPr>
          <w:rFonts w:ascii="Arial" w:hAnsi="Arial" w:cs="Arial"/>
          <w:b/>
          <w:bCs/>
          <w:sz w:val="18"/>
          <w:szCs w:val="18"/>
        </w:rPr>
        <w:t>e</w:t>
      </w:r>
      <w:r w:rsidR="00D4356F" w:rsidRPr="00160940">
        <w:rPr>
          <w:rFonts w:ascii="Arial" w:hAnsi="Arial" w:cs="Arial"/>
          <w:b/>
          <w:bCs/>
          <w:sz w:val="18"/>
          <w:szCs w:val="18"/>
        </w:rPr>
        <w:t>xpuestas al RiC</w:t>
      </w:r>
      <w:r w:rsidR="00C7733C" w:rsidRPr="00160940">
        <w:rPr>
          <w:rFonts w:ascii="Arial" w:hAnsi="Arial" w:cs="Arial"/>
          <w:b/>
          <w:bCs/>
          <w:sz w:val="18"/>
          <w:szCs w:val="18"/>
        </w:rPr>
        <w:t>:</w:t>
      </w:r>
    </w:p>
    <w:p w14:paraId="77D7CF1F" w14:textId="20B9CEC8" w:rsidR="00D4356F" w:rsidRPr="00160940" w:rsidRDefault="00D34A77" w:rsidP="00E37C0C">
      <w:pPr>
        <w:pStyle w:val="Prrafodelista"/>
        <w:numPr>
          <w:ilvl w:val="0"/>
          <w:numId w:val="8"/>
        </w:numPr>
        <w:ind w:left="284" w:hanging="284"/>
        <w:jc w:val="both"/>
        <w:rPr>
          <w:rFonts w:ascii="Arial" w:hAnsi="Arial" w:cs="Arial"/>
          <w:b/>
          <w:bCs/>
          <w:sz w:val="18"/>
          <w:szCs w:val="18"/>
        </w:rPr>
      </w:pPr>
      <w:r w:rsidRPr="00160940">
        <w:rPr>
          <w:rFonts w:ascii="Arial" w:hAnsi="Arial" w:cs="Arial"/>
          <w:b/>
          <w:bCs/>
          <w:sz w:val="18"/>
          <w:szCs w:val="18"/>
        </w:rPr>
        <w:t>Las o</w:t>
      </w:r>
      <w:r w:rsidR="006E05BC" w:rsidRPr="00160940">
        <w:rPr>
          <w:rFonts w:ascii="Arial" w:hAnsi="Arial" w:cs="Arial"/>
          <w:b/>
          <w:bCs/>
          <w:sz w:val="18"/>
          <w:szCs w:val="18"/>
        </w:rPr>
        <w:t xml:space="preserve">peraciones </w:t>
      </w:r>
      <w:r w:rsidR="00CD395B" w:rsidRPr="00160940">
        <w:rPr>
          <w:rFonts w:ascii="Arial" w:hAnsi="Arial" w:cs="Arial"/>
          <w:b/>
          <w:bCs/>
          <w:sz w:val="18"/>
          <w:szCs w:val="18"/>
        </w:rPr>
        <w:t>del mercado monetario</w:t>
      </w:r>
      <w:r w:rsidR="00E24BAA" w:rsidRPr="00160940">
        <w:rPr>
          <w:rFonts w:ascii="Arial" w:hAnsi="Arial" w:cs="Arial"/>
          <w:b/>
          <w:bCs/>
          <w:sz w:val="18"/>
          <w:szCs w:val="18"/>
        </w:rPr>
        <w:t xml:space="preserve">: </w:t>
      </w:r>
      <w:r w:rsidR="00E608AB" w:rsidRPr="00160940">
        <w:rPr>
          <w:rFonts w:ascii="Arial" w:hAnsi="Arial" w:cs="Arial"/>
          <w:b/>
          <w:bCs/>
          <w:sz w:val="18"/>
          <w:szCs w:val="18"/>
        </w:rPr>
        <w:t xml:space="preserve">repos, simultáneas y </w:t>
      </w:r>
      <w:r w:rsidR="00B1512C" w:rsidRPr="00160940">
        <w:rPr>
          <w:rFonts w:ascii="Arial" w:hAnsi="Arial" w:cs="Arial"/>
          <w:b/>
          <w:bCs/>
          <w:sz w:val="18"/>
          <w:szCs w:val="18"/>
        </w:rPr>
        <w:t xml:space="preserve">operaciones de </w:t>
      </w:r>
      <w:r w:rsidR="00075C7E" w:rsidRPr="00160940">
        <w:rPr>
          <w:rFonts w:ascii="Arial" w:hAnsi="Arial" w:cs="Arial"/>
          <w:b/>
          <w:bCs/>
          <w:sz w:val="18"/>
          <w:szCs w:val="18"/>
        </w:rPr>
        <w:t>transferencia temporal de valores</w:t>
      </w:r>
      <w:r w:rsidR="00DC49AF" w:rsidRPr="00160940">
        <w:rPr>
          <w:rFonts w:ascii="Arial" w:hAnsi="Arial" w:cs="Arial"/>
          <w:b/>
          <w:bCs/>
          <w:sz w:val="18"/>
          <w:szCs w:val="18"/>
        </w:rPr>
        <w:t>.</w:t>
      </w:r>
    </w:p>
    <w:p w14:paraId="20677432" w14:textId="77777777" w:rsidR="003F1B84" w:rsidRPr="00160940" w:rsidRDefault="003F1B84" w:rsidP="00E37C0C">
      <w:pPr>
        <w:pStyle w:val="Prrafodelista"/>
        <w:ind w:left="284" w:hanging="284"/>
        <w:jc w:val="both"/>
        <w:rPr>
          <w:rFonts w:ascii="Arial" w:hAnsi="Arial" w:cs="Arial"/>
          <w:b/>
          <w:bCs/>
          <w:sz w:val="18"/>
          <w:szCs w:val="18"/>
        </w:rPr>
      </w:pPr>
    </w:p>
    <w:p w14:paraId="34B5C0E6" w14:textId="0B02032F" w:rsidR="00DC49AF" w:rsidRPr="00160940" w:rsidRDefault="002C6A7D" w:rsidP="00E37C0C">
      <w:pPr>
        <w:pStyle w:val="Prrafodelista"/>
        <w:numPr>
          <w:ilvl w:val="0"/>
          <w:numId w:val="8"/>
        </w:numPr>
        <w:ind w:left="284" w:hanging="284"/>
        <w:jc w:val="both"/>
        <w:rPr>
          <w:rFonts w:ascii="Arial" w:hAnsi="Arial" w:cs="Arial"/>
          <w:b/>
          <w:bCs/>
          <w:sz w:val="18"/>
          <w:szCs w:val="18"/>
        </w:rPr>
      </w:pPr>
      <w:r w:rsidRPr="00160940">
        <w:rPr>
          <w:rFonts w:ascii="Arial" w:hAnsi="Arial" w:cs="Arial"/>
          <w:b/>
          <w:bCs/>
          <w:sz w:val="18"/>
          <w:szCs w:val="18"/>
        </w:rPr>
        <w:t xml:space="preserve">Las operaciones </w:t>
      </w:r>
      <w:r w:rsidR="00AC6953" w:rsidRPr="00160940">
        <w:rPr>
          <w:rFonts w:ascii="Arial" w:hAnsi="Arial" w:cs="Arial"/>
          <w:b/>
          <w:bCs/>
          <w:sz w:val="18"/>
          <w:szCs w:val="18"/>
        </w:rPr>
        <w:t xml:space="preserve">sobre instrumentos </w:t>
      </w:r>
      <w:r w:rsidR="00EB497A" w:rsidRPr="00160940">
        <w:rPr>
          <w:rFonts w:ascii="Arial" w:hAnsi="Arial" w:cs="Arial"/>
          <w:b/>
          <w:bCs/>
          <w:sz w:val="18"/>
          <w:szCs w:val="18"/>
        </w:rPr>
        <w:t xml:space="preserve">financieros </w:t>
      </w:r>
      <w:r w:rsidR="00AC6953" w:rsidRPr="00160940">
        <w:rPr>
          <w:rFonts w:ascii="Arial" w:hAnsi="Arial" w:cs="Arial"/>
          <w:b/>
          <w:bCs/>
          <w:sz w:val="18"/>
          <w:szCs w:val="18"/>
        </w:rPr>
        <w:t>derivados</w:t>
      </w:r>
      <w:r w:rsidR="000F6A60" w:rsidRPr="00160940">
        <w:rPr>
          <w:rFonts w:ascii="Arial" w:hAnsi="Arial" w:cs="Arial"/>
          <w:b/>
          <w:bCs/>
          <w:sz w:val="18"/>
          <w:szCs w:val="18"/>
        </w:rPr>
        <w:t xml:space="preserve"> y productos estructurados</w:t>
      </w:r>
      <w:r w:rsidR="005D252F" w:rsidRPr="00160940">
        <w:rPr>
          <w:rFonts w:ascii="Arial" w:hAnsi="Arial" w:cs="Arial"/>
          <w:b/>
          <w:bCs/>
          <w:sz w:val="18"/>
          <w:szCs w:val="18"/>
        </w:rPr>
        <w:t>.</w:t>
      </w:r>
      <w:r w:rsidR="00AC6953" w:rsidRPr="00160940">
        <w:rPr>
          <w:rFonts w:ascii="Arial" w:hAnsi="Arial" w:cs="Arial"/>
          <w:b/>
          <w:bCs/>
          <w:sz w:val="18"/>
          <w:szCs w:val="18"/>
        </w:rPr>
        <w:t xml:space="preserve"> </w:t>
      </w:r>
    </w:p>
    <w:p w14:paraId="2E209B8B" w14:textId="77777777" w:rsidR="00747588" w:rsidRPr="00160940" w:rsidRDefault="00747588" w:rsidP="00E37C0C">
      <w:pPr>
        <w:pStyle w:val="Prrafodelista"/>
        <w:ind w:left="284" w:hanging="284"/>
        <w:rPr>
          <w:rFonts w:ascii="Arial" w:hAnsi="Arial" w:cs="Arial"/>
          <w:b/>
          <w:bCs/>
          <w:sz w:val="18"/>
          <w:szCs w:val="18"/>
        </w:rPr>
      </w:pPr>
    </w:p>
    <w:p w14:paraId="075A4BF5" w14:textId="67D016CC" w:rsidR="00747588" w:rsidRPr="00160940" w:rsidRDefault="007137C0" w:rsidP="00E37C0C">
      <w:pPr>
        <w:pStyle w:val="Prrafodelista"/>
        <w:numPr>
          <w:ilvl w:val="0"/>
          <w:numId w:val="8"/>
        </w:numPr>
        <w:ind w:left="284" w:hanging="284"/>
        <w:jc w:val="both"/>
        <w:rPr>
          <w:rFonts w:ascii="Arial" w:hAnsi="Arial" w:cs="Arial"/>
          <w:b/>
          <w:bCs/>
          <w:sz w:val="18"/>
          <w:szCs w:val="18"/>
        </w:rPr>
      </w:pPr>
      <w:r w:rsidRPr="00160940">
        <w:rPr>
          <w:rFonts w:ascii="Arial" w:hAnsi="Arial" w:cs="Arial"/>
          <w:b/>
          <w:bCs/>
          <w:sz w:val="18"/>
          <w:szCs w:val="18"/>
        </w:rPr>
        <w:t>Las operaciones de contado.</w:t>
      </w:r>
    </w:p>
    <w:p w14:paraId="2F7F49A7" w14:textId="77777777" w:rsidR="003F1B84" w:rsidRPr="00160940" w:rsidRDefault="003F1B84" w:rsidP="00E37C0C">
      <w:pPr>
        <w:pStyle w:val="Prrafodelista"/>
        <w:ind w:left="284" w:hanging="284"/>
        <w:jc w:val="both"/>
        <w:rPr>
          <w:rFonts w:ascii="Arial" w:hAnsi="Arial" w:cs="Arial"/>
          <w:b/>
          <w:bCs/>
          <w:sz w:val="18"/>
          <w:szCs w:val="18"/>
        </w:rPr>
      </w:pPr>
    </w:p>
    <w:p w14:paraId="4367CC3F" w14:textId="46A37739" w:rsidR="00191DA9" w:rsidRPr="00160940" w:rsidRDefault="00191DA9" w:rsidP="00E37C0C">
      <w:pPr>
        <w:pStyle w:val="Prrafodelista"/>
        <w:numPr>
          <w:ilvl w:val="0"/>
          <w:numId w:val="8"/>
        </w:numPr>
        <w:ind w:left="284" w:hanging="284"/>
        <w:jc w:val="both"/>
        <w:rPr>
          <w:rFonts w:ascii="Arial" w:hAnsi="Arial" w:cs="Arial"/>
          <w:b/>
          <w:bCs/>
          <w:sz w:val="18"/>
          <w:szCs w:val="18"/>
        </w:rPr>
      </w:pPr>
      <w:r w:rsidRPr="00160940">
        <w:rPr>
          <w:rFonts w:ascii="Arial" w:hAnsi="Arial" w:cs="Arial"/>
          <w:b/>
          <w:bCs/>
          <w:sz w:val="18"/>
          <w:szCs w:val="18"/>
        </w:rPr>
        <w:t xml:space="preserve">Cualquier otra operación sobre valores, </w:t>
      </w:r>
      <w:r w:rsidRPr="00160940">
        <w:rPr>
          <w:rFonts w:ascii="Arial" w:hAnsi="Arial" w:cs="Arial"/>
          <w:b/>
          <w:bCs/>
          <w:i/>
          <w:iCs/>
          <w:sz w:val="18"/>
          <w:szCs w:val="18"/>
        </w:rPr>
        <w:t>commodities</w:t>
      </w:r>
      <w:r w:rsidRPr="00160940">
        <w:rPr>
          <w:rFonts w:ascii="Arial" w:hAnsi="Arial" w:cs="Arial"/>
          <w:b/>
          <w:bCs/>
          <w:sz w:val="18"/>
          <w:szCs w:val="18"/>
        </w:rPr>
        <w:t xml:space="preserve"> o divisas</w:t>
      </w:r>
      <w:r w:rsidR="00C7254D">
        <w:rPr>
          <w:rFonts w:ascii="Arial" w:hAnsi="Arial" w:cs="Arial"/>
          <w:b/>
          <w:bCs/>
          <w:sz w:val="18"/>
          <w:szCs w:val="18"/>
        </w:rPr>
        <w:t>, entre otros,</w:t>
      </w:r>
      <w:r w:rsidRPr="00160940">
        <w:rPr>
          <w:rFonts w:ascii="Arial" w:hAnsi="Arial" w:cs="Arial"/>
          <w:b/>
          <w:bCs/>
          <w:sz w:val="18"/>
          <w:szCs w:val="18"/>
        </w:rPr>
        <w:t xml:space="preserve"> que </w:t>
      </w:r>
      <w:r w:rsidR="00EF72FD" w:rsidRPr="00160940">
        <w:rPr>
          <w:rFonts w:ascii="Arial" w:hAnsi="Arial" w:cs="Arial"/>
          <w:b/>
          <w:bCs/>
          <w:sz w:val="18"/>
          <w:szCs w:val="18"/>
        </w:rPr>
        <w:t xml:space="preserve">genere una exposición al RiC. </w:t>
      </w:r>
    </w:p>
    <w:p w14:paraId="7D359397" w14:textId="2DECDBAA" w:rsidR="00AA3288" w:rsidRDefault="0082022E" w:rsidP="00E37C0C">
      <w:pPr>
        <w:jc w:val="both"/>
        <w:rPr>
          <w:rFonts w:ascii="Arial" w:hAnsi="Arial" w:cs="Arial"/>
          <w:b/>
          <w:bCs/>
          <w:sz w:val="18"/>
          <w:szCs w:val="18"/>
        </w:rPr>
      </w:pPr>
      <w:r w:rsidRPr="00160940">
        <w:rPr>
          <w:rFonts w:ascii="Arial" w:hAnsi="Arial" w:cs="Arial"/>
          <w:b/>
          <w:bCs/>
          <w:sz w:val="18"/>
          <w:szCs w:val="18"/>
        </w:rPr>
        <w:t xml:space="preserve">Las entidades vigiladas que </w:t>
      </w:r>
      <w:bookmarkStart w:id="0" w:name="_Hlk133246363"/>
      <w:r w:rsidRPr="00160940">
        <w:rPr>
          <w:rFonts w:ascii="Arial" w:hAnsi="Arial" w:cs="Arial"/>
          <w:b/>
          <w:bCs/>
          <w:sz w:val="18"/>
          <w:szCs w:val="18"/>
        </w:rPr>
        <w:t>administren</w:t>
      </w:r>
      <w:r w:rsidR="00F97950" w:rsidRPr="00160940">
        <w:rPr>
          <w:rFonts w:ascii="Arial" w:hAnsi="Arial" w:cs="Arial"/>
          <w:b/>
          <w:bCs/>
          <w:sz w:val="18"/>
          <w:szCs w:val="18"/>
        </w:rPr>
        <w:t xml:space="preserve"> recursos de terceros </w:t>
      </w:r>
      <w:bookmarkEnd w:id="0"/>
      <w:r w:rsidR="0077131D" w:rsidRPr="00160940">
        <w:rPr>
          <w:rFonts w:ascii="Arial" w:hAnsi="Arial" w:cs="Arial"/>
          <w:b/>
          <w:bCs/>
          <w:sz w:val="18"/>
          <w:szCs w:val="18"/>
        </w:rPr>
        <w:t xml:space="preserve">deben </w:t>
      </w:r>
      <w:r w:rsidR="00D438CB" w:rsidRPr="00160940">
        <w:rPr>
          <w:rFonts w:ascii="Arial" w:hAnsi="Arial" w:cs="Arial"/>
          <w:b/>
          <w:bCs/>
          <w:sz w:val="18"/>
          <w:szCs w:val="18"/>
        </w:rPr>
        <w:t>asegurarse de que</w:t>
      </w:r>
      <w:r w:rsidR="00155EC5">
        <w:rPr>
          <w:rFonts w:ascii="Arial" w:hAnsi="Arial" w:cs="Arial"/>
          <w:b/>
          <w:bCs/>
          <w:sz w:val="18"/>
          <w:szCs w:val="18"/>
        </w:rPr>
        <w:t>,</w:t>
      </w:r>
      <w:r w:rsidR="00D438CB" w:rsidRPr="00160940">
        <w:rPr>
          <w:rFonts w:ascii="Arial" w:hAnsi="Arial" w:cs="Arial"/>
          <w:b/>
          <w:bCs/>
          <w:sz w:val="18"/>
          <w:szCs w:val="18"/>
        </w:rPr>
        <w:t xml:space="preserve"> </w:t>
      </w:r>
      <w:r w:rsidR="00E06A81">
        <w:rPr>
          <w:rFonts w:ascii="Arial" w:hAnsi="Arial" w:cs="Arial"/>
          <w:b/>
          <w:bCs/>
          <w:sz w:val="18"/>
          <w:szCs w:val="18"/>
        </w:rPr>
        <w:t xml:space="preserve">cuando </w:t>
      </w:r>
      <w:r w:rsidR="008F2EC2" w:rsidRPr="00160940">
        <w:rPr>
          <w:rFonts w:ascii="Arial" w:hAnsi="Arial" w:cs="Arial"/>
          <w:b/>
          <w:bCs/>
          <w:sz w:val="18"/>
          <w:szCs w:val="18"/>
        </w:rPr>
        <w:t xml:space="preserve">los </w:t>
      </w:r>
      <w:r w:rsidR="00D438CB" w:rsidRPr="00160940">
        <w:rPr>
          <w:rFonts w:ascii="Arial" w:hAnsi="Arial" w:cs="Arial"/>
          <w:b/>
          <w:bCs/>
          <w:sz w:val="18"/>
          <w:szCs w:val="18"/>
        </w:rPr>
        <w:t>vehículos</w:t>
      </w:r>
      <w:r w:rsidR="008F2EC2" w:rsidRPr="00160940">
        <w:rPr>
          <w:rFonts w:ascii="Arial" w:hAnsi="Arial" w:cs="Arial"/>
          <w:b/>
          <w:bCs/>
          <w:sz w:val="18"/>
          <w:szCs w:val="18"/>
        </w:rPr>
        <w:t xml:space="preserve"> administrados realicen operaciones expuestas al RiC</w:t>
      </w:r>
      <w:r w:rsidR="002F3306">
        <w:rPr>
          <w:rFonts w:ascii="Arial" w:hAnsi="Arial" w:cs="Arial"/>
          <w:b/>
          <w:bCs/>
          <w:sz w:val="18"/>
          <w:szCs w:val="18"/>
        </w:rPr>
        <w:t>,</w:t>
      </w:r>
      <w:r w:rsidR="00D438CB" w:rsidRPr="00160940">
        <w:rPr>
          <w:rFonts w:ascii="Arial" w:hAnsi="Arial" w:cs="Arial"/>
          <w:b/>
          <w:bCs/>
          <w:sz w:val="18"/>
          <w:szCs w:val="18"/>
        </w:rPr>
        <w:t xml:space="preserve"> cumpla</w:t>
      </w:r>
      <w:r w:rsidR="003A0874" w:rsidRPr="00160940">
        <w:rPr>
          <w:rFonts w:ascii="Arial" w:hAnsi="Arial" w:cs="Arial"/>
          <w:b/>
          <w:bCs/>
          <w:sz w:val="18"/>
          <w:szCs w:val="18"/>
        </w:rPr>
        <w:t>n</w:t>
      </w:r>
      <w:r w:rsidR="00D438CB" w:rsidRPr="00160940">
        <w:rPr>
          <w:rFonts w:ascii="Arial" w:hAnsi="Arial" w:cs="Arial"/>
          <w:b/>
          <w:bCs/>
          <w:sz w:val="18"/>
          <w:szCs w:val="18"/>
        </w:rPr>
        <w:t xml:space="preserve"> con las políticas de gestión del RiC definidas por l</w:t>
      </w:r>
      <w:r w:rsidR="003A0874" w:rsidRPr="00160940">
        <w:rPr>
          <w:rFonts w:ascii="Arial" w:hAnsi="Arial" w:cs="Arial"/>
          <w:b/>
          <w:bCs/>
          <w:sz w:val="18"/>
          <w:szCs w:val="18"/>
        </w:rPr>
        <w:t>a entidad en el marco de lo previs</w:t>
      </w:r>
      <w:r w:rsidR="00574269" w:rsidRPr="00160940">
        <w:rPr>
          <w:rFonts w:ascii="Arial" w:hAnsi="Arial" w:cs="Arial"/>
          <w:b/>
          <w:bCs/>
          <w:sz w:val="18"/>
          <w:szCs w:val="18"/>
        </w:rPr>
        <w:t>t</w:t>
      </w:r>
      <w:r w:rsidR="003A0874" w:rsidRPr="00160940">
        <w:rPr>
          <w:rFonts w:ascii="Arial" w:hAnsi="Arial" w:cs="Arial"/>
          <w:b/>
          <w:bCs/>
          <w:sz w:val="18"/>
          <w:szCs w:val="18"/>
        </w:rPr>
        <w:t>o en el presente numeral</w:t>
      </w:r>
      <w:r w:rsidR="00961F75">
        <w:rPr>
          <w:rFonts w:ascii="Arial" w:hAnsi="Arial" w:cs="Arial"/>
          <w:b/>
          <w:bCs/>
          <w:sz w:val="18"/>
          <w:szCs w:val="18"/>
        </w:rPr>
        <w:t>.</w:t>
      </w:r>
    </w:p>
    <w:p w14:paraId="230B821C" w14:textId="520B0C97" w:rsidR="00583701" w:rsidRPr="00160940" w:rsidRDefault="00552A6F" w:rsidP="00E37C0C">
      <w:pPr>
        <w:jc w:val="both"/>
        <w:rPr>
          <w:rFonts w:ascii="Arial" w:hAnsi="Arial" w:cs="Arial"/>
          <w:b/>
          <w:bCs/>
          <w:sz w:val="18"/>
          <w:szCs w:val="18"/>
        </w:rPr>
      </w:pPr>
      <w:r w:rsidRPr="26E3A651">
        <w:rPr>
          <w:rFonts w:ascii="Arial" w:hAnsi="Arial" w:cs="Arial"/>
          <w:b/>
          <w:bCs/>
          <w:sz w:val="18"/>
          <w:szCs w:val="18"/>
        </w:rPr>
        <w:t xml:space="preserve">Sin perjuicio de lo anterior, </w:t>
      </w:r>
      <w:r w:rsidR="009E146B" w:rsidRPr="26E3A651">
        <w:rPr>
          <w:rFonts w:ascii="Arial" w:hAnsi="Arial" w:cs="Arial"/>
          <w:b/>
          <w:bCs/>
          <w:sz w:val="18"/>
          <w:szCs w:val="18"/>
        </w:rPr>
        <w:t xml:space="preserve">las instrucciones contenidas en el Capítulo XVIII </w:t>
      </w:r>
      <w:r w:rsidR="00443FA1" w:rsidRPr="26E3A651">
        <w:rPr>
          <w:rFonts w:ascii="Arial" w:hAnsi="Arial" w:cs="Arial"/>
          <w:b/>
          <w:bCs/>
          <w:sz w:val="18"/>
          <w:szCs w:val="18"/>
        </w:rPr>
        <w:t>«</w:t>
      </w:r>
      <w:r w:rsidR="00CF2F27" w:rsidRPr="26E3A651">
        <w:rPr>
          <w:rFonts w:ascii="Arial" w:hAnsi="Arial" w:cs="Arial"/>
          <w:b/>
          <w:bCs/>
          <w:i/>
          <w:iCs/>
          <w:sz w:val="18"/>
          <w:szCs w:val="18"/>
        </w:rPr>
        <w:t>Instrumentos financieros derivados y productos estructurados</w:t>
      </w:r>
      <w:r w:rsidR="00EB4F44" w:rsidRPr="26E3A651">
        <w:rPr>
          <w:rFonts w:ascii="Arial" w:hAnsi="Arial" w:cs="Arial"/>
          <w:b/>
          <w:bCs/>
          <w:sz w:val="18"/>
          <w:szCs w:val="18"/>
        </w:rPr>
        <w:t xml:space="preserve">» </w:t>
      </w:r>
      <w:r w:rsidR="002F15EF">
        <w:rPr>
          <w:rFonts w:ascii="Arial" w:hAnsi="Arial" w:cs="Arial"/>
          <w:b/>
          <w:bCs/>
          <w:sz w:val="18"/>
          <w:szCs w:val="18"/>
        </w:rPr>
        <w:t xml:space="preserve">aplican </w:t>
      </w:r>
      <w:r w:rsidR="00B04418" w:rsidRPr="26E3A651">
        <w:rPr>
          <w:rFonts w:ascii="Arial" w:hAnsi="Arial" w:cs="Arial"/>
          <w:b/>
          <w:bCs/>
          <w:sz w:val="18"/>
          <w:szCs w:val="18"/>
        </w:rPr>
        <w:t>a</w:t>
      </w:r>
      <w:r w:rsidR="00782BD6" w:rsidRPr="26E3A651">
        <w:rPr>
          <w:rFonts w:ascii="Arial" w:hAnsi="Arial" w:cs="Arial"/>
          <w:b/>
          <w:bCs/>
          <w:sz w:val="18"/>
          <w:szCs w:val="18"/>
        </w:rPr>
        <w:t xml:space="preserve"> la gestión de los riesgos de los </w:t>
      </w:r>
      <w:r w:rsidR="00877BE8" w:rsidRPr="26E3A651">
        <w:rPr>
          <w:rFonts w:ascii="Arial" w:hAnsi="Arial" w:cs="Arial"/>
          <w:b/>
          <w:bCs/>
          <w:sz w:val="18"/>
          <w:szCs w:val="18"/>
        </w:rPr>
        <w:t>instrumentos</w:t>
      </w:r>
      <w:r w:rsidR="00782BD6" w:rsidRPr="26E3A651">
        <w:rPr>
          <w:rFonts w:ascii="Arial" w:hAnsi="Arial" w:cs="Arial"/>
          <w:b/>
          <w:bCs/>
          <w:sz w:val="18"/>
          <w:szCs w:val="18"/>
        </w:rPr>
        <w:t xml:space="preserve"> financieros derivados</w:t>
      </w:r>
      <w:r w:rsidR="000F6A60" w:rsidRPr="26E3A651">
        <w:rPr>
          <w:rFonts w:ascii="Arial" w:hAnsi="Arial" w:cs="Arial"/>
          <w:b/>
          <w:bCs/>
          <w:sz w:val="18"/>
          <w:szCs w:val="18"/>
        </w:rPr>
        <w:t xml:space="preserve"> y productos estructurados</w:t>
      </w:r>
      <w:r w:rsidR="002F15EF">
        <w:rPr>
          <w:rFonts w:ascii="Arial" w:hAnsi="Arial" w:cs="Arial"/>
          <w:b/>
          <w:bCs/>
          <w:sz w:val="18"/>
          <w:szCs w:val="18"/>
        </w:rPr>
        <w:t>, y</w:t>
      </w:r>
      <w:r w:rsidR="00CA2B3F">
        <w:rPr>
          <w:rFonts w:ascii="Arial" w:hAnsi="Arial" w:cs="Arial"/>
          <w:b/>
          <w:bCs/>
          <w:sz w:val="18"/>
          <w:szCs w:val="18"/>
        </w:rPr>
        <w:t xml:space="preserve"> en</w:t>
      </w:r>
      <w:r w:rsidR="00C02BCC">
        <w:rPr>
          <w:rFonts w:ascii="Arial" w:hAnsi="Arial" w:cs="Arial"/>
          <w:b/>
          <w:bCs/>
          <w:sz w:val="18"/>
          <w:szCs w:val="18"/>
        </w:rPr>
        <w:t xml:space="preserve"> aquello que no se encuentre regulado </w:t>
      </w:r>
      <w:r w:rsidR="00E0537D">
        <w:rPr>
          <w:rFonts w:ascii="Arial" w:hAnsi="Arial" w:cs="Arial"/>
          <w:b/>
          <w:bCs/>
          <w:sz w:val="18"/>
          <w:szCs w:val="18"/>
        </w:rPr>
        <w:t>en el referido Capítulo XVIII</w:t>
      </w:r>
      <w:r w:rsidR="00D80A18">
        <w:rPr>
          <w:rFonts w:ascii="Arial" w:hAnsi="Arial" w:cs="Arial"/>
          <w:b/>
          <w:bCs/>
          <w:sz w:val="18"/>
          <w:szCs w:val="18"/>
        </w:rPr>
        <w:t>,</w:t>
      </w:r>
      <w:r w:rsidR="00E0537D">
        <w:rPr>
          <w:rFonts w:ascii="Arial" w:hAnsi="Arial" w:cs="Arial"/>
          <w:b/>
          <w:bCs/>
          <w:sz w:val="18"/>
          <w:szCs w:val="18"/>
        </w:rPr>
        <w:t xml:space="preserve"> deben aplicar las instrucciones </w:t>
      </w:r>
      <w:r w:rsidR="00C02BCC">
        <w:rPr>
          <w:rFonts w:ascii="Arial" w:hAnsi="Arial" w:cs="Arial"/>
          <w:b/>
          <w:bCs/>
          <w:sz w:val="18"/>
          <w:szCs w:val="18"/>
        </w:rPr>
        <w:t xml:space="preserve">previstas en el </w:t>
      </w:r>
      <w:r w:rsidR="00E0537D">
        <w:rPr>
          <w:rFonts w:ascii="Arial" w:hAnsi="Arial" w:cs="Arial"/>
          <w:b/>
          <w:bCs/>
          <w:sz w:val="18"/>
          <w:szCs w:val="18"/>
        </w:rPr>
        <w:t>presente</w:t>
      </w:r>
      <w:r w:rsidR="00C02BCC">
        <w:rPr>
          <w:rFonts w:ascii="Arial" w:hAnsi="Arial" w:cs="Arial"/>
          <w:b/>
          <w:bCs/>
          <w:sz w:val="18"/>
          <w:szCs w:val="18"/>
        </w:rPr>
        <w:t xml:space="preserve"> </w:t>
      </w:r>
      <w:r w:rsidR="00E0537D">
        <w:rPr>
          <w:rFonts w:ascii="Arial" w:hAnsi="Arial" w:cs="Arial"/>
          <w:b/>
          <w:bCs/>
          <w:sz w:val="18"/>
          <w:szCs w:val="18"/>
        </w:rPr>
        <w:t>numeral</w:t>
      </w:r>
      <w:r w:rsidR="00782BD6" w:rsidRPr="26E3A651">
        <w:rPr>
          <w:rFonts w:ascii="Arial" w:hAnsi="Arial" w:cs="Arial"/>
          <w:b/>
          <w:bCs/>
          <w:sz w:val="18"/>
          <w:szCs w:val="18"/>
        </w:rPr>
        <w:t>.</w:t>
      </w:r>
    </w:p>
    <w:p w14:paraId="48954F2E" w14:textId="6B25200B" w:rsidR="00AA3288" w:rsidRPr="00E37C0C" w:rsidRDefault="0082007C" w:rsidP="00E37C0C">
      <w:pPr>
        <w:jc w:val="both"/>
        <w:rPr>
          <w:b/>
          <w:bCs/>
        </w:rPr>
      </w:pPr>
      <w:r w:rsidRPr="00160940">
        <w:rPr>
          <w:rFonts w:ascii="Arial" w:hAnsi="Arial" w:cs="Arial"/>
          <w:b/>
          <w:bCs/>
          <w:sz w:val="18"/>
          <w:szCs w:val="18"/>
        </w:rPr>
        <w:t>L</w:t>
      </w:r>
      <w:r w:rsidR="00306BDB" w:rsidRPr="00160940">
        <w:rPr>
          <w:rFonts w:ascii="Arial" w:hAnsi="Arial" w:cs="Arial"/>
          <w:b/>
          <w:bCs/>
          <w:sz w:val="18"/>
          <w:szCs w:val="18"/>
        </w:rPr>
        <w:t xml:space="preserve">as disposiciones de </w:t>
      </w:r>
      <w:r w:rsidR="00AF0151" w:rsidRPr="00160940">
        <w:rPr>
          <w:rFonts w:ascii="Arial" w:hAnsi="Arial" w:cs="Arial"/>
          <w:b/>
          <w:bCs/>
          <w:sz w:val="18"/>
          <w:szCs w:val="18"/>
        </w:rPr>
        <w:t>este</w:t>
      </w:r>
      <w:r w:rsidR="00AD68F7" w:rsidRPr="00160940">
        <w:rPr>
          <w:rFonts w:ascii="Arial" w:hAnsi="Arial" w:cs="Arial"/>
          <w:b/>
          <w:bCs/>
          <w:sz w:val="18"/>
          <w:szCs w:val="18"/>
        </w:rPr>
        <w:t xml:space="preserve"> numeral</w:t>
      </w:r>
      <w:r w:rsidR="00AF0151" w:rsidRPr="00160940">
        <w:rPr>
          <w:rFonts w:ascii="Arial" w:hAnsi="Arial" w:cs="Arial"/>
          <w:b/>
          <w:bCs/>
          <w:sz w:val="18"/>
          <w:szCs w:val="18"/>
        </w:rPr>
        <w:t xml:space="preserve"> </w:t>
      </w:r>
      <w:r w:rsidR="00D2453C" w:rsidRPr="00160940">
        <w:rPr>
          <w:rFonts w:ascii="Arial" w:hAnsi="Arial" w:cs="Arial"/>
          <w:b/>
          <w:bCs/>
          <w:sz w:val="18"/>
          <w:szCs w:val="18"/>
        </w:rPr>
        <w:t xml:space="preserve">no resultan </w:t>
      </w:r>
      <w:r w:rsidR="007F39F6" w:rsidRPr="00160940">
        <w:rPr>
          <w:rFonts w:ascii="Arial" w:hAnsi="Arial" w:cs="Arial"/>
          <w:b/>
          <w:bCs/>
          <w:sz w:val="18"/>
          <w:szCs w:val="18"/>
        </w:rPr>
        <w:t>aplicables</w:t>
      </w:r>
      <w:r w:rsidR="00AF0151" w:rsidRPr="00160940">
        <w:rPr>
          <w:rFonts w:ascii="Arial" w:hAnsi="Arial" w:cs="Arial"/>
          <w:b/>
          <w:bCs/>
          <w:sz w:val="18"/>
          <w:szCs w:val="18"/>
        </w:rPr>
        <w:t xml:space="preserve"> </w:t>
      </w:r>
      <w:r w:rsidR="00D2453C" w:rsidRPr="00160940">
        <w:rPr>
          <w:rFonts w:ascii="Arial" w:hAnsi="Arial" w:cs="Arial"/>
          <w:b/>
          <w:bCs/>
          <w:sz w:val="18"/>
          <w:szCs w:val="18"/>
        </w:rPr>
        <w:t xml:space="preserve">a la gestión </w:t>
      </w:r>
      <w:r w:rsidR="00AF0151" w:rsidRPr="00160940">
        <w:rPr>
          <w:rFonts w:ascii="Arial" w:hAnsi="Arial" w:cs="Arial"/>
          <w:b/>
          <w:bCs/>
          <w:sz w:val="18"/>
          <w:szCs w:val="18"/>
        </w:rPr>
        <w:t xml:space="preserve">de los riesgos </w:t>
      </w:r>
      <w:r w:rsidR="006655D9" w:rsidRPr="00160940">
        <w:rPr>
          <w:rFonts w:ascii="Arial" w:hAnsi="Arial" w:cs="Arial"/>
          <w:b/>
          <w:bCs/>
          <w:sz w:val="18"/>
          <w:szCs w:val="18"/>
        </w:rPr>
        <w:t xml:space="preserve">de </w:t>
      </w:r>
      <w:r w:rsidR="00AF0151" w:rsidRPr="00160940">
        <w:rPr>
          <w:rFonts w:ascii="Arial" w:hAnsi="Arial" w:cs="Arial"/>
          <w:b/>
          <w:bCs/>
          <w:sz w:val="18"/>
          <w:szCs w:val="18"/>
        </w:rPr>
        <w:t xml:space="preserve">las operaciones activas </w:t>
      </w:r>
      <w:r w:rsidR="00D969F5" w:rsidRPr="00160940">
        <w:rPr>
          <w:rFonts w:ascii="Arial" w:hAnsi="Arial" w:cs="Arial"/>
          <w:b/>
          <w:bCs/>
          <w:sz w:val="18"/>
          <w:szCs w:val="18"/>
        </w:rPr>
        <w:t xml:space="preserve">de crédito </w:t>
      </w:r>
      <w:r w:rsidR="006655D9" w:rsidRPr="00160940">
        <w:rPr>
          <w:rFonts w:ascii="Arial" w:hAnsi="Arial" w:cs="Arial"/>
          <w:b/>
          <w:bCs/>
          <w:sz w:val="18"/>
          <w:szCs w:val="18"/>
        </w:rPr>
        <w:t>que celebren</w:t>
      </w:r>
      <w:r w:rsidR="00AF0151" w:rsidRPr="00160940">
        <w:rPr>
          <w:rFonts w:ascii="Arial" w:hAnsi="Arial" w:cs="Arial"/>
          <w:b/>
          <w:bCs/>
          <w:sz w:val="18"/>
          <w:szCs w:val="18"/>
        </w:rPr>
        <w:t xml:space="preserve"> los establecimientos de crédito</w:t>
      </w:r>
      <w:r w:rsidR="00672272">
        <w:rPr>
          <w:rFonts w:ascii="Arial" w:hAnsi="Arial" w:cs="Arial"/>
          <w:b/>
          <w:bCs/>
          <w:sz w:val="18"/>
          <w:szCs w:val="18"/>
        </w:rPr>
        <w:t>,</w:t>
      </w:r>
      <w:r w:rsidR="007E133C" w:rsidRPr="00160940">
        <w:rPr>
          <w:rFonts w:ascii="Arial" w:hAnsi="Arial" w:cs="Arial"/>
          <w:b/>
          <w:bCs/>
          <w:sz w:val="18"/>
          <w:szCs w:val="18"/>
        </w:rPr>
        <w:t xml:space="preserve"> ni a las operaciones expuestas a RiC que se compensen y liquiden a través de una CRCC</w:t>
      </w:r>
      <w:r w:rsidR="00AF0151" w:rsidRPr="00160940">
        <w:rPr>
          <w:rFonts w:ascii="Arial" w:hAnsi="Arial" w:cs="Arial"/>
          <w:b/>
          <w:bCs/>
          <w:sz w:val="18"/>
          <w:szCs w:val="18"/>
        </w:rPr>
        <w:t xml:space="preserve">. </w:t>
      </w:r>
    </w:p>
    <w:p w14:paraId="0A8CEC17" w14:textId="6BF06E1C" w:rsidR="002A5F92" w:rsidRPr="00160940" w:rsidRDefault="002A5F92" w:rsidP="00E37C0C">
      <w:pPr>
        <w:pStyle w:val="Prrafodelista"/>
        <w:numPr>
          <w:ilvl w:val="2"/>
          <w:numId w:val="1"/>
        </w:numPr>
        <w:rPr>
          <w:rFonts w:ascii="Arial" w:hAnsi="Arial" w:cs="Arial"/>
          <w:b/>
          <w:bCs/>
          <w:sz w:val="18"/>
          <w:szCs w:val="18"/>
        </w:rPr>
      </w:pPr>
      <w:r w:rsidRPr="00160940">
        <w:rPr>
          <w:rFonts w:ascii="Arial" w:hAnsi="Arial" w:cs="Arial"/>
          <w:b/>
          <w:bCs/>
          <w:sz w:val="18"/>
          <w:szCs w:val="18"/>
        </w:rPr>
        <w:t xml:space="preserve">Naturaleza del </w:t>
      </w:r>
      <w:r w:rsidR="0088681B">
        <w:rPr>
          <w:rFonts w:ascii="Arial" w:hAnsi="Arial" w:cs="Arial"/>
          <w:b/>
          <w:bCs/>
          <w:sz w:val="18"/>
          <w:szCs w:val="18"/>
        </w:rPr>
        <w:t>r</w:t>
      </w:r>
      <w:r w:rsidRPr="00160940">
        <w:rPr>
          <w:rFonts w:ascii="Arial" w:hAnsi="Arial" w:cs="Arial"/>
          <w:b/>
          <w:bCs/>
          <w:sz w:val="18"/>
          <w:szCs w:val="18"/>
        </w:rPr>
        <w:t xml:space="preserve">iesgo de </w:t>
      </w:r>
      <w:r w:rsidR="0088681B">
        <w:rPr>
          <w:rFonts w:ascii="Arial" w:hAnsi="Arial" w:cs="Arial"/>
          <w:b/>
          <w:bCs/>
          <w:sz w:val="18"/>
          <w:szCs w:val="18"/>
        </w:rPr>
        <w:t>c</w:t>
      </w:r>
      <w:r w:rsidRPr="00160940">
        <w:rPr>
          <w:rFonts w:ascii="Arial" w:hAnsi="Arial" w:cs="Arial"/>
          <w:b/>
          <w:bCs/>
          <w:sz w:val="18"/>
          <w:szCs w:val="18"/>
        </w:rPr>
        <w:t>ontraparte</w:t>
      </w:r>
    </w:p>
    <w:p w14:paraId="46D890F3" w14:textId="7D3D8D38" w:rsidR="0014206E" w:rsidRDefault="009C144B" w:rsidP="00E37C0C">
      <w:pPr>
        <w:jc w:val="both"/>
        <w:rPr>
          <w:rFonts w:ascii="Arial" w:hAnsi="Arial" w:cs="Arial"/>
          <w:b/>
          <w:bCs/>
          <w:sz w:val="18"/>
          <w:szCs w:val="18"/>
        </w:rPr>
        <w:sectPr w:rsidR="0014206E" w:rsidSect="0074137D">
          <w:headerReference w:type="default" r:id="rId14"/>
          <w:pgSz w:w="12240" w:h="18720" w:code="120"/>
          <w:pgMar w:top="1417" w:right="1701" w:bottom="1417" w:left="1701" w:header="708" w:footer="708" w:gutter="0"/>
          <w:pgBorders>
            <w:left w:val="single" w:sz="4" w:space="4" w:color="auto"/>
          </w:pgBorders>
          <w:cols w:space="708"/>
          <w:docGrid w:linePitch="360"/>
        </w:sectPr>
      </w:pPr>
      <w:r w:rsidRPr="00160940">
        <w:rPr>
          <w:rFonts w:ascii="Arial" w:hAnsi="Arial" w:cs="Arial"/>
          <w:b/>
          <w:bCs/>
          <w:sz w:val="18"/>
          <w:szCs w:val="18"/>
        </w:rPr>
        <w:t xml:space="preserve">El </w:t>
      </w:r>
      <w:r w:rsidR="008B1C47" w:rsidRPr="00160940">
        <w:rPr>
          <w:rFonts w:ascii="Arial" w:hAnsi="Arial" w:cs="Arial"/>
          <w:b/>
          <w:bCs/>
          <w:sz w:val="18"/>
          <w:szCs w:val="18"/>
        </w:rPr>
        <w:t>R</w:t>
      </w:r>
      <w:r w:rsidR="0086753D" w:rsidRPr="00160940">
        <w:rPr>
          <w:rFonts w:ascii="Arial" w:hAnsi="Arial" w:cs="Arial"/>
          <w:b/>
          <w:bCs/>
          <w:sz w:val="18"/>
          <w:szCs w:val="18"/>
        </w:rPr>
        <w:t>i</w:t>
      </w:r>
      <w:r w:rsidR="008B1C47" w:rsidRPr="00160940">
        <w:rPr>
          <w:rFonts w:ascii="Arial" w:hAnsi="Arial" w:cs="Arial"/>
          <w:b/>
          <w:bCs/>
          <w:sz w:val="18"/>
          <w:szCs w:val="18"/>
        </w:rPr>
        <w:t>C</w:t>
      </w:r>
      <w:r w:rsidRPr="00160940">
        <w:rPr>
          <w:rFonts w:ascii="Arial" w:hAnsi="Arial" w:cs="Arial"/>
          <w:b/>
          <w:bCs/>
          <w:sz w:val="18"/>
          <w:szCs w:val="18"/>
        </w:rPr>
        <w:t xml:space="preserve"> </w:t>
      </w:r>
      <w:r w:rsidR="00E177EE" w:rsidRPr="00160940">
        <w:rPr>
          <w:rFonts w:ascii="Arial" w:hAnsi="Arial" w:cs="Arial"/>
          <w:b/>
          <w:bCs/>
          <w:sz w:val="18"/>
          <w:szCs w:val="18"/>
        </w:rPr>
        <w:t xml:space="preserve">se caracteriza por su naturaleza bilateral, </w:t>
      </w:r>
      <w:r w:rsidR="00904E1A" w:rsidRPr="00160940">
        <w:rPr>
          <w:rFonts w:ascii="Arial" w:hAnsi="Arial" w:cs="Arial"/>
          <w:b/>
          <w:bCs/>
          <w:sz w:val="18"/>
          <w:szCs w:val="18"/>
        </w:rPr>
        <w:t>dado</w:t>
      </w:r>
      <w:r w:rsidR="00E177EE" w:rsidRPr="00160940">
        <w:rPr>
          <w:rFonts w:ascii="Arial" w:hAnsi="Arial" w:cs="Arial"/>
          <w:b/>
          <w:bCs/>
          <w:sz w:val="18"/>
          <w:szCs w:val="18"/>
        </w:rPr>
        <w:t xml:space="preserve"> que </w:t>
      </w:r>
      <w:r w:rsidR="00652E12" w:rsidRPr="00160940">
        <w:rPr>
          <w:rFonts w:ascii="Arial" w:hAnsi="Arial" w:cs="Arial"/>
          <w:b/>
          <w:bCs/>
          <w:sz w:val="18"/>
          <w:szCs w:val="18"/>
        </w:rPr>
        <w:t>el valor</w:t>
      </w:r>
      <w:r w:rsidR="007E133C" w:rsidRPr="00160940">
        <w:rPr>
          <w:rFonts w:ascii="Arial" w:hAnsi="Arial" w:cs="Arial"/>
          <w:b/>
          <w:bCs/>
          <w:sz w:val="18"/>
          <w:szCs w:val="18"/>
        </w:rPr>
        <w:t xml:space="preserve"> razonable</w:t>
      </w:r>
      <w:r w:rsidR="00652E12" w:rsidRPr="00160940">
        <w:rPr>
          <w:rFonts w:ascii="Arial" w:hAnsi="Arial" w:cs="Arial"/>
          <w:b/>
          <w:bCs/>
          <w:sz w:val="18"/>
          <w:szCs w:val="18"/>
        </w:rPr>
        <w:t xml:space="preserve"> de </w:t>
      </w:r>
      <w:r w:rsidR="00E53EDB" w:rsidRPr="00160940">
        <w:rPr>
          <w:rFonts w:ascii="Arial" w:hAnsi="Arial" w:cs="Arial"/>
          <w:b/>
          <w:bCs/>
          <w:sz w:val="18"/>
          <w:szCs w:val="18"/>
        </w:rPr>
        <w:t xml:space="preserve">las operaciones expuestas </w:t>
      </w:r>
      <w:r w:rsidR="00854206" w:rsidRPr="00160940">
        <w:rPr>
          <w:rFonts w:ascii="Arial" w:hAnsi="Arial" w:cs="Arial"/>
          <w:b/>
          <w:bCs/>
          <w:sz w:val="18"/>
          <w:szCs w:val="18"/>
        </w:rPr>
        <w:t xml:space="preserve">al RiC </w:t>
      </w:r>
      <w:r w:rsidR="00652E12" w:rsidRPr="00160940">
        <w:rPr>
          <w:rFonts w:ascii="Arial" w:hAnsi="Arial" w:cs="Arial"/>
          <w:b/>
          <w:bCs/>
          <w:sz w:val="18"/>
          <w:szCs w:val="18"/>
        </w:rPr>
        <w:t>puede ser p</w:t>
      </w:r>
      <w:r w:rsidR="003426F3" w:rsidRPr="00160940">
        <w:rPr>
          <w:rFonts w:ascii="Arial" w:hAnsi="Arial" w:cs="Arial"/>
          <w:b/>
          <w:bCs/>
          <w:sz w:val="18"/>
          <w:szCs w:val="18"/>
        </w:rPr>
        <w:t>o</w:t>
      </w:r>
      <w:r w:rsidR="00652E12" w:rsidRPr="00160940">
        <w:rPr>
          <w:rFonts w:ascii="Arial" w:hAnsi="Arial" w:cs="Arial"/>
          <w:b/>
          <w:bCs/>
          <w:sz w:val="18"/>
          <w:szCs w:val="18"/>
        </w:rPr>
        <w:t xml:space="preserve">sitivo o negativo </w:t>
      </w:r>
      <w:r w:rsidR="00A11E1F" w:rsidRPr="00160940">
        <w:rPr>
          <w:rFonts w:ascii="Arial" w:hAnsi="Arial" w:cs="Arial"/>
          <w:b/>
          <w:bCs/>
          <w:sz w:val="18"/>
          <w:szCs w:val="18"/>
        </w:rPr>
        <w:t>para cualquiera de las parte</w:t>
      </w:r>
      <w:r w:rsidR="008C35A7" w:rsidRPr="00160940">
        <w:rPr>
          <w:rFonts w:ascii="Arial" w:hAnsi="Arial" w:cs="Arial"/>
          <w:b/>
          <w:bCs/>
          <w:sz w:val="18"/>
          <w:szCs w:val="18"/>
        </w:rPr>
        <w:t>s</w:t>
      </w:r>
      <w:r w:rsidR="00024D71">
        <w:rPr>
          <w:rFonts w:ascii="Arial" w:hAnsi="Arial" w:cs="Arial"/>
          <w:b/>
          <w:bCs/>
          <w:sz w:val="18"/>
          <w:szCs w:val="18"/>
        </w:rPr>
        <w:t xml:space="preserve">. Esto </w:t>
      </w:r>
      <w:r w:rsidR="007B5D4F" w:rsidRPr="00160940">
        <w:rPr>
          <w:rFonts w:ascii="Arial" w:hAnsi="Arial" w:cs="Arial"/>
          <w:b/>
          <w:bCs/>
          <w:sz w:val="18"/>
          <w:szCs w:val="18"/>
        </w:rPr>
        <w:t>implica</w:t>
      </w:r>
      <w:r w:rsidR="005A7C55" w:rsidRPr="00160940">
        <w:rPr>
          <w:rFonts w:ascii="Arial" w:hAnsi="Arial" w:cs="Arial"/>
          <w:b/>
          <w:bCs/>
          <w:sz w:val="18"/>
          <w:szCs w:val="18"/>
        </w:rPr>
        <w:t xml:space="preserve"> que </w:t>
      </w:r>
      <w:r w:rsidR="005F542D" w:rsidRPr="00160940">
        <w:rPr>
          <w:rFonts w:ascii="Arial" w:hAnsi="Arial" w:cs="Arial"/>
          <w:b/>
          <w:bCs/>
          <w:sz w:val="18"/>
          <w:szCs w:val="18"/>
        </w:rPr>
        <w:t xml:space="preserve">la posibilidad de pérdida </w:t>
      </w:r>
      <w:r w:rsidR="005A7C55" w:rsidRPr="00160940">
        <w:rPr>
          <w:rFonts w:ascii="Arial" w:hAnsi="Arial" w:cs="Arial"/>
          <w:b/>
          <w:bCs/>
          <w:sz w:val="18"/>
          <w:szCs w:val="18"/>
        </w:rPr>
        <w:t xml:space="preserve">inherente a </w:t>
      </w:r>
      <w:r w:rsidR="008C35A7" w:rsidRPr="00160940">
        <w:rPr>
          <w:rFonts w:ascii="Arial" w:hAnsi="Arial" w:cs="Arial"/>
          <w:b/>
          <w:bCs/>
          <w:sz w:val="18"/>
          <w:szCs w:val="18"/>
        </w:rPr>
        <w:t>la operación s</w:t>
      </w:r>
      <w:r w:rsidR="005A7C55" w:rsidRPr="00160940">
        <w:rPr>
          <w:rFonts w:ascii="Arial" w:hAnsi="Arial" w:cs="Arial"/>
          <w:b/>
          <w:bCs/>
          <w:sz w:val="18"/>
          <w:szCs w:val="18"/>
        </w:rPr>
        <w:t>ea</w:t>
      </w:r>
      <w:r w:rsidR="008C35A7" w:rsidRPr="00160940">
        <w:rPr>
          <w:rFonts w:ascii="Arial" w:hAnsi="Arial" w:cs="Arial"/>
          <w:b/>
          <w:bCs/>
          <w:sz w:val="18"/>
          <w:szCs w:val="18"/>
        </w:rPr>
        <w:t xml:space="preserve"> bilateral</w:t>
      </w:r>
    </w:p>
    <w:p w14:paraId="73FD95F0" w14:textId="01BD1BCA" w:rsidR="005E07D4" w:rsidRPr="00160940" w:rsidRDefault="005E07D4" w:rsidP="0074137D">
      <w:pPr>
        <w:jc w:val="both"/>
        <w:rPr>
          <w:rFonts w:ascii="Arial" w:hAnsi="Arial" w:cs="Arial"/>
          <w:b/>
          <w:bCs/>
          <w:sz w:val="18"/>
          <w:szCs w:val="18"/>
        </w:rPr>
      </w:pPr>
      <w:r w:rsidRPr="00160940">
        <w:rPr>
          <w:rFonts w:ascii="Arial" w:hAnsi="Arial" w:cs="Arial"/>
          <w:b/>
          <w:bCs/>
          <w:sz w:val="18"/>
          <w:szCs w:val="18"/>
        </w:rPr>
        <w:lastRenderedPageBreak/>
        <w:t>7.1.</w:t>
      </w:r>
      <w:r w:rsidR="00A17383">
        <w:rPr>
          <w:rFonts w:ascii="Arial" w:hAnsi="Arial" w:cs="Arial"/>
          <w:b/>
          <w:bCs/>
          <w:sz w:val="18"/>
          <w:szCs w:val="18"/>
        </w:rPr>
        <w:t>4</w:t>
      </w:r>
      <w:r w:rsidR="00401E59" w:rsidRPr="00160940">
        <w:rPr>
          <w:rFonts w:ascii="Arial" w:hAnsi="Arial" w:cs="Arial"/>
          <w:b/>
          <w:bCs/>
          <w:sz w:val="18"/>
          <w:szCs w:val="18"/>
        </w:rPr>
        <w:t>.</w:t>
      </w:r>
      <w:r w:rsidRPr="00160940">
        <w:rPr>
          <w:rFonts w:ascii="Arial" w:hAnsi="Arial" w:cs="Arial"/>
          <w:b/>
          <w:bCs/>
          <w:sz w:val="18"/>
          <w:szCs w:val="18"/>
        </w:rPr>
        <w:t xml:space="preserve"> </w:t>
      </w:r>
      <w:r w:rsidRPr="00160940">
        <w:rPr>
          <w:rFonts w:ascii="Arial" w:hAnsi="Arial" w:cs="Arial"/>
          <w:b/>
          <w:bCs/>
          <w:sz w:val="18"/>
          <w:szCs w:val="18"/>
        </w:rPr>
        <w:tab/>
      </w:r>
      <w:r w:rsidR="0028356D" w:rsidRPr="00160940">
        <w:rPr>
          <w:rFonts w:ascii="Arial" w:hAnsi="Arial" w:cs="Arial"/>
          <w:b/>
          <w:bCs/>
          <w:sz w:val="18"/>
          <w:szCs w:val="18"/>
        </w:rPr>
        <w:t>Monitoreo y supervisión a cargo de los organismos de autorregulación</w:t>
      </w:r>
    </w:p>
    <w:p w14:paraId="3400EDA2" w14:textId="66E7290F" w:rsidR="005E07D4" w:rsidRPr="00160940" w:rsidRDefault="003105D7" w:rsidP="0074137D">
      <w:pPr>
        <w:jc w:val="both"/>
        <w:rPr>
          <w:rFonts w:ascii="Arial" w:hAnsi="Arial" w:cs="Arial"/>
          <w:b/>
          <w:bCs/>
          <w:sz w:val="18"/>
          <w:szCs w:val="18"/>
        </w:rPr>
      </w:pPr>
      <w:r w:rsidRPr="26E3A651">
        <w:rPr>
          <w:rFonts w:ascii="Arial" w:hAnsi="Arial" w:cs="Arial"/>
          <w:b/>
          <w:bCs/>
          <w:sz w:val="18"/>
          <w:szCs w:val="18"/>
        </w:rPr>
        <w:t xml:space="preserve">Sin perjuicio de las facultades y funciones </w:t>
      </w:r>
      <w:r w:rsidR="63FCB2DE" w:rsidRPr="26E3A651">
        <w:rPr>
          <w:rFonts w:ascii="Arial" w:hAnsi="Arial" w:cs="Arial"/>
          <w:b/>
          <w:bCs/>
          <w:sz w:val="18"/>
          <w:szCs w:val="18"/>
        </w:rPr>
        <w:t>asignadas</w:t>
      </w:r>
      <w:r w:rsidR="00E474CC">
        <w:rPr>
          <w:rFonts w:ascii="Arial" w:hAnsi="Arial" w:cs="Arial"/>
          <w:b/>
          <w:bCs/>
          <w:sz w:val="18"/>
          <w:szCs w:val="18"/>
        </w:rPr>
        <w:t xml:space="preserve"> </w:t>
      </w:r>
      <w:r w:rsidRPr="26E3A651">
        <w:rPr>
          <w:rFonts w:ascii="Arial" w:hAnsi="Arial" w:cs="Arial"/>
          <w:b/>
          <w:bCs/>
          <w:sz w:val="18"/>
          <w:szCs w:val="18"/>
        </w:rPr>
        <w:t>a la SFC, los organismos de autorregulación debe</w:t>
      </w:r>
      <w:r w:rsidR="00514C07" w:rsidRPr="26E3A651">
        <w:rPr>
          <w:rFonts w:ascii="Arial" w:hAnsi="Arial" w:cs="Arial"/>
          <w:b/>
          <w:bCs/>
          <w:sz w:val="18"/>
          <w:szCs w:val="18"/>
        </w:rPr>
        <w:t>n monitorear y supervisar las operaciones expuestas al RiC</w:t>
      </w:r>
      <w:r w:rsidR="00A767DC" w:rsidRPr="26E3A651">
        <w:rPr>
          <w:rFonts w:ascii="Arial" w:hAnsi="Arial" w:cs="Arial"/>
          <w:b/>
          <w:bCs/>
          <w:sz w:val="18"/>
          <w:szCs w:val="18"/>
        </w:rPr>
        <w:t>,</w:t>
      </w:r>
      <w:r w:rsidR="00FB3CFE" w:rsidRPr="26E3A651">
        <w:rPr>
          <w:rFonts w:ascii="Arial" w:hAnsi="Arial" w:cs="Arial"/>
          <w:b/>
          <w:bCs/>
          <w:sz w:val="18"/>
          <w:szCs w:val="18"/>
        </w:rPr>
        <w:t xml:space="preserve"> así como el cumplimiento de las instrucciones del presente numeral, </w:t>
      </w:r>
      <w:r w:rsidR="003903D6" w:rsidRPr="26E3A651">
        <w:rPr>
          <w:rFonts w:ascii="Arial" w:hAnsi="Arial" w:cs="Arial"/>
          <w:b/>
          <w:bCs/>
          <w:sz w:val="18"/>
          <w:szCs w:val="18"/>
        </w:rPr>
        <w:t xml:space="preserve">con el fin de evitar potenciales conductas o situaciones de incumplimiento ligadas al </w:t>
      </w:r>
      <w:r w:rsidR="00401E59" w:rsidRPr="26E3A651">
        <w:rPr>
          <w:rFonts w:ascii="Arial" w:hAnsi="Arial" w:cs="Arial"/>
          <w:b/>
          <w:bCs/>
          <w:sz w:val="18"/>
          <w:szCs w:val="18"/>
        </w:rPr>
        <w:t>RiC</w:t>
      </w:r>
      <w:r w:rsidR="003903D6" w:rsidRPr="26E3A651">
        <w:rPr>
          <w:rFonts w:ascii="Arial" w:hAnsi="Arial" w:cs="Arial"/>
          <w:b/>
          <w:bCs/>
          <w:sz w:val="18"/>
          <w:szCs w:val="18"/>
        </w:rPr>
        <w:t xml:space="preserve">, </w:t>
      </w:r>
    </w:p>
    <w:p w14:paraId="2DB88A3F" w14:textId="77777777" w:rsidR="00F4049E" w:rsidRPr="00160940" w:rsidRDefault="00F4049E" w:rsidP="0074137D">
      <w:pPr>
        <w:pStyle w:val="Prrafodelista"/>
        <w:numPr>
          <w:ilvl w:val="1"/>
          <w:numId w:val="1"/>
        </w:numPr>
        <w:ind w:left="709" w:hanging="709"/>
        <w:rPr>
          <w:rFonts w:ascii="Arial" w:hAnsi="Arial" w:cs="Arial"/>
          <w:b/>
          <w:bCs/>
          <w:sz w:val="18"/>
          <w:szCs w:val="18"/>
        </w:rPr>
      </w:pPr>
      <w:r w:rsidRPr="00160940">
        <w:rPr>
          <w:rFonts w:ascii="Arial" w:hAnsi="Arial" w:cs="Arial"/>
          <w:b/>
          <w:bCs/>
          <w:sz w:val="18"/>
          <w:szCs w:val="18"/>
        </w:rPr>
        <w:t xml:space="preserve">Componentes </w:t>
      </w:r>
    </w:p>
    <w:p w14:paraId="36B87258" w14:textId="5821DA05" w:rsidR="00952727" w:rsidRPr="00160940" w:rsidRDefault="00FB6F17" w:rsidP="0074137D">
      <w:pPr>
        <w:tabs>
          <w:tab w:val="left" w:pos="540"/>
        </w:tabs>
        <w:jc w:val="both"/>
        <w:rPr>
          <w:rFonts w:ascii="Arial" w:hAnsi="Arial" w:cs="Arial"/>
          <w:b/>
          <w:bCs/>
          <w:sz w:val="18"/>
          <w:szCs w:val="18"/>
        </w:rPr>
      </w:pPr>
      <w:r w:rsidRPr="00160940">
        <w:rPr>
          <w:rFonts w:ascii="Arial" w:hAnsi="Arial" w:cs="Arial"/>
          <w:b/>
          <w:bCs/>
          <w:sz w:val="18"/>
          <w:szCs w:val="18"/>
          <w:lang w:val="es-ES"/>
        </w:rPr>
        <w:t>Sin perjuicio de lo previsto en</w:t>
      </w:r>
      <w:r w:rsidR="002F74CA" w:rsidRPr="00160940">
        <w:rPr>
          <w:rFonts w:ascii="Arial" w:hAnsi="Arial" w:cs="Arial"/>
          <w:b/>
          <w:bCs/>
          <w:sz w:val="18"/>
          <w:szCs w:val="18"/>
          <w:lang w:val="es-ES"/>
        </w:rPr>
        <w:t xml:space="preserve"> la Parte I</w:t>
      </w:r>
      <w:r w:rsidR="002829B9" w:rsidRPr="00160940">
        <w:rPr>
          <w:rFonts w:ascii="Arial" w:hAnsi="Arial" w:cs="Arial"/>
          <w:b/>
          <w:bCs/>
          <w:sz w:val="18"/>
          <w:szCs w:val="18"/>
          <w:lang w:val="es-ES"/>
        </w:rPr>
        <w:t xml:space="preserve"> del presente Capítulo</w:t>
      </w:r>
      <w:r w:rsidR="00212AAA" w:rsidRPr="00160940">
        <w:rPr>
          <w:rFonts w:ascii="Arial" w:hAnsi="Arial" w:cs="Arial"/>
          <w:b/>
          <w:bCs/>
          <w:sz w:val="18"/>
          <w:szCs w:val="18"/>
          <w:lang w:val="es-ES"/>
        </w:rPr>
        <w:t>,</w:t>
      </w:r>
      <w:r w:rsidR="002F74CA" w:rsidRPr="00160940">
        <w:rPr>
          <w:rFonts w:ascii="Arial" w:hAnsi="Arial" w:cs="Arial"/>
          <w:b/>
          <w:bCs/>
          <w:sz w:val="18"/>
          <w:szCs w:val="18"/>
        </w:rPr>
        <w:t xml:space="preserve"> </w:t>
      </w:r>
      <w:r w:rsidR="00212AAA" w:rsidRPr="00160940">
        <w:rPr>
          <w:rFonts w:ascii="Arial" w:hAnsi="Arial" w:cs="Arial"/>
          <w:b/>
          <w:bCs/>
          <w:sz w:val="18"/>
          <w:szCs w:val="18"/>
        </w:rPr>
        <w:t>l</w:t>
      </w:r>
      <w:r w:rsidR="00952727" w:rsidRPr="00160940">
        <w:rPr>
          <w:rFonts w:ascii="Arial" w:hAnsi="Arial" w:cs="Arial"/>
          <w:b/>
          <w:bCs/>
          <w:sz w:val="18"/>
          <w:szCs w:val="18"/>
        </w:rPr>
        <w:t xml:space="preserve">as entidades que realicen Operaciones Expuestas a </w:t>
      </w:r>
      <w:r w:rsidR="00D41CFE" w:rsidRPr="00160940">
        <w:rPr>
          <w:rFonts w:ascii="Arial" w:hAnsi="Arial" w:cs="Arial"/>
          <w:b/>
          <w:bCs/>
          <w:sz w:val="18"/>
          <w:szCs w:val="18"/>
        </w:rPr>
        <w:t>RiC</w:t>
      </w:r>
      <w:r w:rsidR="00952727" w:rsidRPr="00160940">
        <w:rPr>
          <w:rFonts w:ascii="Arial" w:hAnsi="Arial" w:cs="Arial"/>
          <w:b/>
          <w:bCs/>
          <w:sz w:val="18"/>
          <w:szCs w:val="18"/>
        </w:rPr>
        <w:t xml:space="preserve"> deben </w:t>
      </w:r>
      <w:r w:rsidR="008072B4" w:rsidRPr="00160940">
        <w:rPr>
          <w:rFonts w:ascii="Arial" w:hAnsi="Arial" w:cs="Arial"/>
          <w:b/>
          <w:bCs/>
          <w:sz w:val="18"/>
          <w:szCs w:val="18"/>
        </w:rPr>
        <w:t xml:space="preserve">adoptar </w:t>
      </w:r>
      <w:r w:rsidR="00952727" w:rsidRPr="00160940">
        <w:rPr>
          <w:rFonts w:ascii="Arial" w:hAnsi="Arial" w:cs="Arial"/>
          <w:b/>
          <w:bCs/>
          <w:sz w:val="18"/>
          <w:szCs w:val="18"/>
        </w:rPr>
        <w:t>políticas y procedimientos para la gestión de</w:t>
      </w:r>
      <w:r w:rsidR="00ED36AB" w:rsidRPr="00160940">
        <w:rPr>
          <w:rFonts w:ascii="Arial" w:hAnsi="Arial" w:cs="Arial"/>
          <w:b/>
          <w:bCs/>
          <w:sz w:val="18"/>
          <w:szCs w:val="18"/>
        </w:rPr>
        <w:t xml:space="preserve"> este riesgo</w:t>
      </w:r>
      <w:r w:rsidR="00F43D25" w:rsidRPr="00160940">
        <w:rPr>
          <w:rFonts w:ascii="Arial" w:hAnsi="Arial" w:cs="Arial"/>
          <w:b/>
          <w:bCs/>
          <w:sz w:val="18"/>
          <w:szCs w:val="18"/>
        </w:rPr>
        <w:t xml:space="preserve">. </w:t>
      </w:r>
    </w:p>
    <w:p w14:paraId="7DE12B7D" w14:textId="77777777" w:rsidR="00CE2F83" w:rsidRDefault="001F4B3E" w:rsidP="0074137D">
      <w:pPr>
        <w:tabs>
          <w:tab w:val="left" w:pos="426"/>
          <w:tab w:val="left" w:pos="540"/>
        </w:tabs>
        <w:jc w:val="both"/>
        <w:rPr>
          <w:rFonts w:ascii="Arial" w:hAnsi="Arial" w:cs="Arial"/>
          <w:b/>
          <w:bCs/>
          <w:sz w:val="18"/>
          <w:szCs w:val="18"/>
          <w:lang w:val="es-ES"/>
        </w:rPr>
      </w:pPr>
      <w:r w:rsidRPr="00160940">
        <w:rPr>
          <w:rFonts w:ascii="Arial" w:hAnsi="Arial" w:cs="Arial"/>
          <w:b/>
          <w:bCs/>
          <w:sz w:val="18"/>
          <w:szCs w:val="18"/>
          <w:lang w:val="es-ES"/>
        </w:rPr>
        <w:t>La gestión de</w:t>
      </w:r>
      <w:r w:rsidR="00CD42AA" w:rsidRPr="00160940">
        <w:rPr>
          <w:rFonts w:ascii="Arial" w:hAnsi="Arial" w:cs="Arial"/>
          <w:b/>
          <w:bCs/>
          <w:sz w:val="18"/>
          <w:szCs w:val="18"/>
          <w:lang w:val="es-ES"/>
        </w:rPr>
        <w:t xml:space="preserve">l RiC </w:t>
      </w:r>
      <w:r w:rsidRPr="00160940">
        <w:rPr>
          <w:rFonts w:ascii="Arial" w:hAnsi="Arial" w:cs="Arial"/>
          <w:b/>
          <w:bCs/>
          <w:sz w:val="18"/>
          <w:szCs w:val="18"/>
          <w:lang w:val="es-ES"/>
        </w:rPr>
        <w:t>debe ser acorde con el perfil y marco de apetito de riesgo, el plan de negocio, la naturaleza, el tamaño</w:t>
      </w:r>
      <w:r w:rsidR="004C38C3" w:rsidRPr="00160940">
        <w:rPr>
          <w:rFonts w:ascii="Arial" w:hAnsi="Arial" w:cs="Arial"/>
          <w:b/>
          <w:bCs/>
          <w:sz w:val="18"/>
          <w:szCs w:val="18"/>
          <w:lang w:val="es-ES"/>
        </w:rPr>
        <w:t>,</w:t>
      </w:r>
      <w:r w:rsidRPr="00160940">
        <w:rPr>
          <w:rFonts w:ascii="Arial" w:hAnsi="Arial" w:cs="Arial"/>
          <w:b/>
          <w:bCs/>
          <w:sz w:val="18"/>
          <w:szCs w:val="18"/>
          <w:lang w:val="es-ES"/>
        </w:rPr>
        <w:t xml:space="preserve"> y la complejidad y diversidad de las actividades que desarrolle</w:t>
      </w:r>
      <w:r w:rsidR="00222D67">
        <w:rPr>
          <w:rFonts w:ascii="Arial" w:hAnsi="Arial" w:cs="Arial"/>
          <w:b/>
          <w:bCs/>
          <w:sz w:val="18"/>
          <w:szCs w:val="18"/>
          <w:lang w:val="es-ES"/>
        </w:rPr>
        <w:t>n</w:t>
      </w:r>
      <w:r w:rsidRPr="00160940">
        <w:rPr>
          <w:rFonts w:ascii="Arial" w:hAnsi="Arial" w:cs="Arial"/>
          <w:b/>
          <w:bCs/>
          <w:sz w:val="18"/>
          <w:szCs w:val="18"/>
          <w:lang w:val="es-ES"/>
        </w:rPr>
        <w:t xml:space="preserve"> la</w:t>
      </w:r>
      <w:r w:rsidR="00222D67">
        <w:rPr>
          <w:rFonts w:ascii="Arial" w:hAnsi="Arial" w:cs="Arial"/>
          <w:b/>
          <w:bCs/>
          <w:sz w:val="18"/>
          <w:szCs w:val="18"/>
          <w:lang w:val="es-ES"/>
        </w:rPr>
        <w:t>s</w:t>
      </w:r>
      <w:r w:rsidRPr="00160940">
        <w:rPr>
          <w:rFonts w:ascii="Arial" w:hAnsi="Arial" w:cs="Arial"/>
          <w:b/>
          <w:bCs/>
          <w:sz w:val="18"/>
          <w:szCs w:val="18"/>
          <w:lang w:val="es-ES"/>
        </w:rPr>
        <w:t xml:space="preserve"> entidad</w:t>
      </w:r>
      <w:r w:rsidR="00222D67">
        <w:rPr>
          <w:rFonts w:ascii="Arial" w:hAnsi="Arial" w:cs="Arial"/>
          <w:b/>
          <w:bCs/>
          <w:sz w:val="18"/>
          <w:szCs w:val="18"/>
          <w:lang w:val="es-ES"/>
        </w:rPr>
        <w:t>es</w:t>
      </w:r>
      <w:r w:rsidR="00E33451" w:rsidRPr="00160940">
        <w:rPr>
          <w:rFonts w:ascii="Arial" w:hAnsi="Arial" w:cs="Arial"/>
          <w:b/>
          <w:bCs/>
          <w:sz w:val="18"/>
          <w:szCs w:val="18"/>
          <w:lang w:val="es-ES"/>
        </w:rPr>
        <w:t>.</w:t>
      </w:r>
    </w:p>
    <w:p w14:paraId="44D62941" w14:textId="77777777" w:rsidR="008C1808" w:rsidRPr="00160940" w:rsidRDefault="008C1808" w:rsidP="0074137D">
      <w:pPr>
        <w:pStyle w:val="Prrafodelista"/>
        <w:numPr>
          <w:ilvl w:val="2"/>
          <w:numId w:val="1"/>
        </w:numPr>
        <w:autoSpaceDE w:val="0"/>
        <w:autoSpaceDN w:val="0"/>
        <w:adjustRightInd w:val="0"/>
        <w:jc w:val="both"/>
        <w:rPr>
          <w:rFonts w:ascii="Arial" w:hAnsi="Arial" w:cs="Arial"/>
          <w:b/>
          <w:bCs/>
          <w:sz w:val="18"/>
          <w:szCs w:val="18"/>
          <w:lang w:eastAsia="es-CO"/>
        </w:rPr>
      </w:pPr>
      <w:r w:rsidRPr="00160940">
        <w:rPr>
          <w:rFonts w:ascii="Arial" w:hAnsi="Arial" w:cs="Arial"/>
          <w:b/>
          <w:bCs/>
          <w:sz w:val="18"/>
          <w:szCs w:val="18"/>
          <w:lang w:eastAsia="es-CO"/>
        </w:rPr>
        <w:t>Etapas</w:t>
      </w:r>
    </w:p>
    <w:p w14:paraId="66F98D02" w14:textId="77777777" w:rsidR="008C1808" w:rsidRPr="00160940" w:rsidRDefault="008C1808" w:rsidP="0074137D">
      <w:pPr>
        <w:autoSpaceDE w:val="0"/>
        <w:autoSpaceDN w:val="0"/>
        <w:adjustRightInd w:val="0"/>
        <w:jc w:val="both"/>
        <w:rPr>
          <w:rFonts w:ascii="Arial" w:hAnsi="Arial" w:cs="Arial"/>
          <w:b/>
          <w:bCs/>
          <w:sz w:val="18"/>
          <w:szCs w:val="18"/>
        </w:rPr>
      </w:pPr>
      <w:r w:rsidRPr="00160940">
        <w:rPr>
          <w:rFonts w:ascii="Arial" w:hAnsi="Arial" w:cs="Arial"/>
          <w:b/>
          <w:bCs/>
          <w:sz w:val="18"/>
          <w:szCs w:val="18"/>
        </w:rPr>
        <w:t>Para la administración del RiC, las entidades deben desarrollar las siguientes etapas:</w:t>
      </w:r>
    </w:p>
    <w:p w14:paraId="0EA3833C" w14:textId="77777777" w:rsidR="008C1808" w:rsidRPr="00160940" w:rsidRDefault="008C1808" w:rsidP="0074137D">
      <w:pPr>
        <w:pStyle w:val="Prrafodelista"/>
        <w:numPr>
          <w:ilvl w:val="3"/>
          <w:numId w:val="1"/>
        </w:numPr>
        <w:autoSpaceDE w:val="0"/>
        <w:autoSpaceDN w:val="0"/>
        <w:adjustRightInd w:val="0"/>
        <w:jc w:val="both"/>
        <w:rPr>
          <w:rFonts w:ascii="Arial" w:hAnsi="Arial" w:cs="Arial"/>
          <w:b/>
          <w:bCs/>
          <w:sz w:val="18"/>
          <w:szCs w:val="18"/>
          <w:lang w:eastAsia="es-CO"/>
        </w:rPr>
      </w:pPr>
      <w:r w:rsidRPr="00160940">
        <w:rPr>
          <w:rFonts w:ascii="Arial" w:hAnsi="Arial" w:cs="Arial"/>
          <w:b/>
          <w:bCs/>
          <w:sz w:val="18"/>
          <w:szCs w:val="18"/>
          <w:lang w:eastAsia="es-CO"/>
        </w:rPr>
        <w:t xml:space="preserve">Identificación </w:t>
      </w:r>
    </w:p>
    <w:p w14:paraId="31EE51CA" w14:textId="77777777" w:rsidR="008C1808" w:rsidRPr="00160940" w:rsidRDefault="008C1808" w:rsidP="0074137D">
      <w:pPr>
        <w:autoSpaceDE w:val="0"/>
        <w:autoSpaceDN w:val="0"/>
        <w:adjustRightInd w:val="0"/>
        <w:jc w:val="both"/>
        <w:rPr>
          <w:rFonts w:ascii="Arial" w:hAnsi="Arial" w:cs="Arial"/>
          <w:b/>
          <w:bCs/>
          <w:sz w:val="18"/>
          <w:szCs w:val="18"/>
        </w:rPr>
      </w:pPr>
      <w:r w:rsidRPr="00160940">
        <w:rPr>
          <w:rFonts w:ascii="Arial" w:hAnsi="Arial" w:cs="Arial"/>
          <w:b/>
          <w:bCs/>
          <w:sz w:val="18"/>
          <w:szCs w:val="18"/>
        </w:rPr>
        <w:t>Las entidades deben identificar el RiC al que están expuestas en función de: (i) el tipo de posiciones asumidas en operaciones expuestas al RiC celebradas por cuenta propia</w:t>
      </w:r>
      <w:r>
        <w:rPr>
          <w:rFonts w:ascii="Arial" w:hAnsi="Arial" w:cs="Arial"/>
          <w:b/>
          <w:bCs/>
          <w:sz w:val="18"/>
          <w:szCs w:val="18"/>
        </w:rPr>
        <w:t xml:space="preserve"> o</w:t>
      </w:r>
      <w:r w:rsidRPr="00160940">
        <w:rPr>
          <w:rFonts w:ascii="Arial" w:hAnsi="Arial" w:cs="Arial"/>
          <w:b/>
          <w:bCs/>
          <w:sz w:val="18"/>
          <w:szCs w:val="18"/>
        </w:rPr>
        <w:t xml:space="preserve"> por cuenta de</w:t>
      </w:r>
      <w:r>
        <w:rPr>
          <w:rFonts w:ascii="Arial" w:hAnsi="Arial" w:cs="Arial"/>
          <w:b/>
          <w:bCs/>
          <w:sz w:val="18"/>
          <w:szCs w:val="18"/>
        </w:rPr>
        <w:t xml:space="preserve"> terceros, incluyendo</w:t>
      </w:r>
      <w:r w:rsidRPr="00160940">
        <w:rPr>
          <w:rFonts w:ascii="Arial" w:hAnsi="Arial" w:cs="Arial"/>
          <w:b/>
          <w:bCs/>
          <w:sz w:val="18"/>
          <w:szCs w:val="18"/>
        </w:rPr>
        <w:t xml:space="preserve"> los vehículos de inversión administrados, (ii) los tipos de productos y mercados en los que participa, y (iii) los factores generales y particulares que inciden en el perfil de riesgo de</w:t>
      </w:r>
      <w:r>
        <w:rPr>
          <w:rFonts w:ascii="Arial" w:hAnsi="Arial" w:cs="Arial"/>
          <w:b/>
          <w:bCs/>
          <w:sz w:val="18"/>
          <w:szCs w:val="18"/>
        </w:rPr>
        <w:t xml:space="preserve"> sus </w:t>
      </w:r>
      <w:r w:rsidRPr="00160940">
        <w:rPr>
          <w:rFonts w:ascii="Arial" w:hAnsi="Arial" w:cs="Arial"/>
          <w:b/>
          <w:bCs/>
          <w:sz w:val="18"/>
          <w:szCs w:val="18"/>
        </w:rPr>
        <w:t>contrapartes</w:t>
      </w:r>
      <w:r>
        <w:rPr>
          <w:rFonts w:ascii="Arial" w:hAnsi="Arial" w:cs="Arial"/>
          <w:b/>
          <w:bCs/>
          <w:sz w:val="18"/>
          <w:szCs w:val="18"/>
        </w:rPr>
        <w:t xml:space="preserve"> y terceros</w:t>
      </w:r>
      <w:r w:rsidRPr="00160940">
        <w:rPr>
          <w:rFonts w:ascii="Arial" w:hAnsi="Arial" w:cs="Arial"/>
          <w:b/>
          <w:bCs/>
          <w:sz w:val="18"/>
          <w:szCs w:val="18"/>
        </w:rPr>
        <w:t>.</w:t>
      </w:r>
    </w:p>
    <w:p w14:paraId="1EC486AE" w14:textId="77777777" w:rsidR="008C1808" w:rsidRPr="00160940" w:rsidRDefault="008C1808" w:rsidP="0074137D">
      <w:pPr>
        <w:jc w:val="both"/>
        <w:rPr>
          <w:rFonts w:ascii="Arial" w:hAnsi="Arial" w:cs="Arial"/>
          <w:b/>
          <w:bCs/>
          <w:sz w:val="18"/>
          <w:szCs w:val="18"/>
        </w:rPr>
      </w:pPr>
      <w:r w:rsidRPr="00160940">
        <w:rPr>
          <w:rFonts w:ascii="Arial" w:hAnsi="Arial" w:cs="Arial"/>
          <w:b/>
          <w:bCs/>
          <w:sz w:val="18"/>
          <w:szCs w:val="18"/>
        </w:rPr>
        <w:t>La etapa de identificación debe realizarse de forma previa a la creación de nuevos productos o a la incursión en nuevas operaciones, actividades o mercados, y de forma previa a la vinculación o apertura de cupos a nuevos</w:t>
      </w:r>
      <w:r>
        <w:rPr>
          <w:rFonts w:ascii="Arial" w:hAnsi="Arial" w:cs="Arial"/>
          <w:b/>
          <w:bCs/>
          <w:sz w:val="18"/>
          <w:szCs w:val="18"/>
        </w:rPr>
        <w:t xml:space="preserve"> terceros</w:t>
      </w:r>
      <w:r w:rsidRPr="00160940">
        <w:rPr>
          <w:rFonts w:ascii="Arial" w:hAnsi="Arial" w:cs="Arial"/>
          <w:b/>
          <w:bCs/>
          <w:sz w:val="18"/>
          <w:szCs w:val="18"/>
        </w:rPr>
        <w:t xml:space="preserve"> o contrapartes, de tal manera que les permita establecer la exposición que se puede generar al RiC.</w:t>
      </w:r>
    </w:p>
    <w:p w14:paraId="746F81F2" w14:textId="49A0141C" w:rsidR="008C1808" w:rsidRPr="00160940" w:rsidRDefault="00FF293B" w:rsidP="0074137D">
      <w:pPr>
        <w:pStyle w:val="Prrafodelista"/>
        <w:numPr>
          <w:ilvl w:val="4"/>
          <w:numId w:val="1"/>
        </w:numPr>
        <w:autoSpaceDE w:val="0"/>
        <w:autoSpaceDN w:val="0"/>
        <w:adjustRightInd w:val="0"/>
        <w:ind w:left="993" w:hanging="993"/>
        <w:jc w:val="both"/>
        <w:rPr>
          <w:rFonts w:ascii="Arial" w:hAnsi="Arial" w:cs="Arial"/>
          <w:b/>
          <w:bCs/>
          <w:sz w:val="18"/>
          <w:szCs w:val="18"/>
          <w:lang w:eastAsia="es-CO"/>
        </w:rPr>
      </w:pPr>
      <w:r>
        <w:rPr>
          <w:rFonts w:ascii="Arial" w:hAnsi="Arial" w:cs="Arial"/>
          <w:b/>
          <w:bCs/>
          <w:sz w:val="18"/>
          <w:szCs w:val="18"/>
        </w:rPr>
        <w:t>E</w:t>
      </w:r>
      <w:r w:rsidR="008C1808" w:rsidRPr="00160940">
        <w:rPr>
          <w:rFonts w:ascii="Arial" w:hAnsi="Arial" w:cs="Arial"/>
          <w:b/>
          <w:bCs/>
          <w:sz w:val="18"/>
          <w:szCs w:val="18"/>
        </w:rPr>
        <w:t>valuación de factores de riesgo</w:t>
      </w:r>
    </w:p>
    <w:p w14:paraId="18A92507" w14:textId="3885D1A1" w:rsidR="00CE2F83" w:rsidRDefault="008C1808" w:rsidP="0074137D">
      <w:pPr>
        <w:jc w:val="both"/>
        <w:rPr>
          <w:rFonts w:ascii="Arial" w:hAnsi="Arial" w:cs="Arial"/>
          <w:b/>
          <w:bCs/>
          <w:sz w:val="18"/>
          <w:szCs w:val="18"/>
        </w:rPr>
      </w:pPr>
      <w:r w:rsidRPr="00160940">
        <w:rPr>
          <w:rFonts w:ascii="Arial" w:hAnsi="Arial" w:cs="Arial"/>
          <w:b/>
          <w:bCs/>
          <w:sz w:val="18"/>
          <w:szCs w:val="18"/>
        </w:rPr>
        <w:t xml:space="preserve">Como parte de la etapa de identificación, las entidades deben establecer los factores de riesgo de sus distintas </w:t>
      </w:r>
      <w:r>
        <w:rPr>
          <w:rFonts w:ascii="Arial" w:hAnsi="Arial" w:cs="Arial"/>
          <w:b/>
          <w:bCs/>
          <w:sz w:val="18"/>
          <w:szCs w:val="18"/>
        </w:rPr>
        <w:t xml:space="preserve">operaciones y de las respectivas </w:t>
      </w:r>
      <w:r w:rsidRPr="00160940">
        <w:rPr>
          <w:rFonts w:ascii="Arial" w:hAnsi="Arial" w:cs="Arial"/>
          <w:b/>
          <w:bCs/>
          <w:sz w:val="18"/>
          <w:szCs w:val="18"/>
        </w:rPr>
        <w:t>contrapartes y</w:t>
      </w:r>
      <w:r>
        <w:rPr>
          <w:rFonts w:ascii="Arial" w:hAnsi="Arial" w:cs="Arial"/>
          <w:b/>
          <w:bCs/>
          <w:sz w:val="18"/>
          <w:szCs w:val="18"/>
        </w:rPr>
        <w:t xml:space="preserve"> terceros</w:t>
      </w:r>
      <w:r w:rsidRPr="00160940">
        <w:rPr>
          <w:rFonts w:ascii="Arial" w:hAnsi="Arial" w:cs="Arial"/>
          <w:b/>
          <w:bCs/>
          <w:sz w:val="18"/>
          <w:szCs w:val="18"/>
        </w:rPr>
        <w:t>, teniendo en cuenta como mínimo lo siguiente:</w:t>
      </w:r>
    </w:p>
    <w:p w14:paraId="1A6F2FC7" w14:textId="4E21EF59" w:rsidR="00AA3288" w:rsidRPr="00160940" w:rsidRDefault="00AA3288" w:rsidP="0074137D">
      <w:pPr>
        <w:pStyle w:val="Prrafodelista"/>
        <w:numPr>
          <w:ilvl w:val="0"/>
          <w:numId w:val="12"/>
        </w:numPr>
        <w:autoSpaceDE w:val="0"/>
        <w:autoSpaceDN w:val="0"/>
        <w:adjustRightInd w:val="0"/>
        <w:spacing w:after="0" w:line="240" w:lineRule="auto"/>
        <w:ind w:left="284" w:hanging="284"/>
        <w:jc w:val="both"/>
        <w:rPr>
          <w:rFonts w:ascii="Arial" w:hAnsi="Arial" w:cs="Arial"/>
          <w:b/>
          <w:bCs/>
          <w:sz w:val="18"/>
          <w:szCs w:val="18"/>
        </w:rPr>
      </w:pPr>
      <w:r w:rsidRPr="26E3A651">
        <w:rPr>
          <w:rFonts w:ascii="Arial" w:hAnsi="Arial" w:cs="Arial"/>
          <w:b/>
          <w:bCs/>
          <w:sz w:val="18"/>
          <w:szCs w:val="18"/>
        </w:rPr>
        <w:t xml:space="preserve">Operaciones: Las entidades deben identificar y evaluar los aspectos relacionados con las operaciones </w:t>
      </w:r>
      <w:r w:rsidR="00685D23">
        <w:rPr>
          <w:rFonts w:ascii="Arial" w:hAnsi="Arial" w:cs="Arial"/>
          <w:b/>
          <w:bCs/>
          <w:sz w:val="18"/>
          <w:szCs w:val="18"/>
        </w:rPr>
        <w:t xml:space="preserve">expuestas al </w:t>
      </w:r>
      <w:r w:rsidRPr="26E3A651">
        <w:rPr>
          <w:rFonts w:ascii="Arial" w:hAnsi="Arial" w:cs="Arial"/>
          <w:b/>
          <w:bCs/>
          <w:sz w:val="18"/>
          <w:szCs w:val="18"/>
        </w:rPr>
        <w:t xml:space="preserve">RiC, tales como: el plazo para el cumplimiento, la liquidez y volatilidad de las operaciones y sus activos subyacentes, y las normas aplicables al tipo de operación, entre otros.  </w:t>
      </w:r>
    </w:p>
    <w:p w14:paraId="3688A4C2" w14:textId="77777777" w:rsidR="00AA3288" w:rsidRPr="00160940" w:rsidRDefault="00AA3288" w:rsidP="0074137D">
      <w:pPr>
        <w:pStyle w:val="Prrafodelista"/>
        <w:autoSpaceDE w:val="0"/>
        <w:autoSpaceDN w:val="0"/>
        <w:adjustRightInd w:val="0"/>
        <w:spacing w:after="0" w:line="240" w:lineRule="auto"/>
        <w:ind w:left="0"/>
        <w:jc w:val="both"/>
        <w:rPr>
          <w:rFonts w:ascii="Arial" w:hAnsi="Arial" w:cs="Arial"/>
          <w:b/>
          <w:bCs/>
          <w:sz w:val="18"/>
          <w:szCs w:val="18"/>
        </w:rPr>
      </w:pPr>
    </w:p>
    <w:p w14:paraId="218D5CE1" w14:textId="77777777" w:rsidR="00976E11" w:rsidRPr="00976E11" w:rsidRDefault="00AA3288" w:rsidP="0074137D">
      <w:pPr>
        <w:pStyle w:val="Prrafodelista"/>
        <w:numPr>
          <w:ilvl w:val="0"/>
          <w:numId w:val="12"/>
        </w:numPr>
        <w:tabs>
          <w:tab w:val="left" w:pos="426"/>
          <w:tab w:val="left" w:pos="540"/>
        </w:tabs>
        <w:autoSpaceDE w:val="0"/>
        <w:autoSpaceDN w:val="0"/>
        <w:adjustRightInd w:val="0"/>
        <w:spacing w:after="0" w:line="240" w:lineRule="auto"/>
        <w:ind w:left="284" w:hanging="284"/>
        <w:jc w:val="both"/>
        <w:rPr>
          <w:rFonts w:ascii="Arial" w:hAnsi="Arial" w:cs="Arial"/>
          <w:b/>
          <w:bCs/>
          <w:sz w:val="18"/>
          <w:szCs w:val="18"/>
          <w:lang w:val="es-ES"/>
        </w:rPr>
      </w:pPr>
      <w:r w:rsidRPr="00AA3288">
        <w:rPr>
          <w:rFonts w:ascii="Arial" w:hAnsi="Arial" w:cs="Arial"/>
          <w:b/>
          <w:bCs/>
          <w:sz w:val="18"/>
          <w:szCs w:val="18"/>
        </w:rPr>
        <w:t>Mercados: Las entidades deben identificar y evaluar los aspectos relacionados con los mercados en los que operan que inciden en el RiC, tales como: los agentes del mercado, régimen de garantías y otros mitigantes aplicables, los medios de pago utilizados, las normas y reglas del mercado en el que se opera y el comportamiento de variables macroeconómicas, entre otros.</w:t>
      </w:r>
    </w:p>
    <w:p w14:paraId="4730DF9B" w14:textId="77777777" w:rsidR="00976E11" w:rsidRDefault="00976E11" w:rsidP="0074137D">
      <w:pPr>
        <w:pStyle w:val="Prrafodelista"/>
        <w:ind w:left="0"/>
        <w:rPr>
          <w:rFonts w:ascii="Arial" w:hAnsi="Arial" w:cs="Arial"/>
          <w:b/>
          <w:bCs/>
          <w:sz w:val="18"/>
          <w:szCs w:val="18"/>
        </w:rPr>
      </w:pPr>
    </w:p>
    <w:p w14:paraId="38CB817A" w14:textId="48B40E70" w:rsidR="00976E11" w:rsidRPr="00160940" w:rsidRDefault="00976E11" w:rsidP="0074137D">
      <w:pPr>
        <w:pStyle w:val="Prrafodelista"/>
        <w:numPr>
          <w:ilvl w:val="0"/>
          <w:numId w:val="12"/>
        </w:numPr>
        <w:autoSpaceDE w:val="0"/>
        <w:autoSpaceDN w:val="0"/>
        <w:adjustRightInd w:val="0"/>
        <w:spacing w:after="0" w:line="240" w:lineRule="auto"/>
        <w:ind w:left="284" w:hanging="284"/>
        <w:jc w:val="both"/>
        <w:rPr>
          <w:rFonts w:ascii="Arial" w:hAnsi="Arial" w:cs="Arial"/>
          <w:b/>
          <w:bCs/>
          <w:sz w:val="18"/>
          <w:szCs w:val="18"/>
        </w:rPr>
      </w:pPr>
      <w:r w:rsidRPr="00160940">
        <w:rPr>
          <w:rFonts w:ascii="Arial" w:hAnsi="Arial" w:cs="Arial"/>
          <w:b/>
          <w:bCs/>
          <w:sz w:val="18"/>
          <w:szCs w:val="18"/>
        </w:rPr>
        <w:t>Perfil de riesgo: Las entidades deben identificar y evaluar los aspectos cuantitativos y cualitativos que inciden en el nivel de riesgo de sus contrapartes y</w:t>
      </w:r>
      <w:r>
        <w:rPr>
          <w:rFonts w:ascii="Arial" w:hAnsi="Arial" w:cs="Arial"/>
          <w:b/>
          <w:bCs/>
          <w:sz w:val="18"/>
          <w:szCs w:val="18"/>
        </w:rPr>
        <w:t xml:space="preserve"> terceros</w:t>
      </w:r>
      <w:r w:rsidRPr="00160940">
        <w:rPr>
          <w:rFonts w:ascii="Arial" w:hAnsi="Arial" w:cs="Arial"/>
          <w:b/>
          <w:bCs/>
          <w:sz w:val="18"/>
          <w:szCs w:val="18"/>
        </w:rPr>
        <w:t>, de manera previa a la realización de operaciones o actividades. Para estos efectos, las entidades deben evaluar, por lo menos, lo</w:t>
      </w:r>
      <w:r w:rsidR="00826B27">
        <w:rPr>
          <w:rFonts w:ascii="Arial" w:hAnsi="Arial" w:cs="Arial"/>
          <w:b/>
          <w:bCs/>
          <w:sz w:val="18"/>
          <w:szCs w:val="18"/>
        </w:rPr>
        <w:t>s</w:t>
      </w:r>
      <w:r w:rsidRPr="00160940">
        <w:rPr>
          <w:rFonts w:ascii="Arial" w:hAnsi="Arial" w:cs="Arial"/>
          <w:b/>
          <w:bCs/>
          <w:sz w:val="18"/>
          <w:szCs w:val="18"/>
        </w:rPr>
        <w:t xml:space="preserve"> siguiente</w:t>
      </w:r>
      <w:r w:rsidR="00826B27">
        <w:rPr>
          <w:rFonts w:ascii="Arial" w:hAnsi="Arial" w:cs="Arial"/>
          <w:b/>
          <w:bCs/>
          <w:sz w:val="18"/>
          <w:szCs w:val="18"/>
        </w:rPr>
        <w:t>s elementos</w:t>
      </w:r>
      <w:r w:rsidRPr="00160940">
        <w:rPr>
          <w:rFonts w:ascii="Arial" w:hAnsi="Arial" w:cs="Arial"/>
          <w:b/>
          <w:bCs/>
          <w:sz w:val="18"/>
          <w:szCs w:val="18"/>
        </w:rPr>
        <w:t>:</w:t>
      </w:r>
    </w:p>
    <w:p w14:paraId="72330873" w14:textId="77777777" w:rsidR="00976E11" w:rsidRPr="00160940" w:rsidRDefault="00976E11" w:rsidP="0074137D">
      <w:pPr>
        <w:autoSpaceDE w:val="0"/>
        <w:autoSpaceDN w:val="0"/>
        <w:adjustRightInd w:val="0"/>
        <w:spacing w:after="0" w:line="240" w:lineRule="auto"/>
        <w:jc w:val="both"/>
        <w:rPr>
          <w:rFonts w:ascii="Arial" w:hAnsi="Arial" w:cs="Arial"/>
          <w:b/>
          <w:bCs/>
          <w:sz w:val="18"/>
          <w:szCs w:val="18"/>
        </w:rPr>
      </w:pPr>
    </w:p>
    <w:p w14:paraId="2AD80988" w14:textId="77777777" w:rsidR="00976E11" w:rsidRPr="00160940" w:rsidRDefault="00976E11" w:rsidP="0014206E">
      <w:pPr>
        <w:autoSpaceDE w:val="0"/>
        <w:autoSpaceDN w:val="0"/>
        <w:adjustRightInd w:val="0"/>
        <w:spacing w:after="0" w:line="240" w:lineRule="auto"/>
        <w:jc w:val="both"/>
        <w:rPr>
          <w:rFonts w:ascii="Arial" w:hAnsi="Arial" w:cs="Arial"/>
          <w:b/>
          <w:bCs/>
          <w:sz w:val="18"/>
          <w:szCs w:val="18"/>
        </w:rPr>
      </w:pPr>
      <w:r w:rsidRPr="00160940">
        <w:rPr>
          <w:rFonts w:ascii="Arial" w:hAnsi="Arial" w:cs="Arial"/>
          <w:b/>
          <w:bCs/>
          <w:sz w:val="18"/>
          <w:szCs w:val="18"/>
        </w:rPr>
        <w:t>Evaluación cualitativa:</w:t>
      </w:r>
    </w:p>
    <w:p w14:paraId="3CF273A8" w14:textId="77777777" w:rsidR="00976E11" w:rsidRPr="00160940" w:rsidRDefault="00976E11" w:rsidP="0074137D">
      <w:pPr>
        <w:autoSpaceDE w:val="0"/>
        <w:autoSpaceDN w:val="0"/>
        <w:adjustRightInd w:val="0"/>
        <w:spacing w:after="0" w:line="240" w:lineRule="auto"/>
        <w:jc w:val="both"/>
        <w:rPr>
          <w:rFonts w:ascii="Arial" w:hAnsi="Arial" w:cs="Arial"/>
          <w:b/>
          <w:bCs/>
          <w:sz w:val="18"/>
          <w:szCs w:val="18"/>
        </w:rPr>
      </w:pPr>
    </w:p>
    <w:p w14:paraId="3C4BD849" w14:textId="77777777" w:rsidR="00976E11" w:rsidRPr="00160940" w:rsidRDefault="00976E11" w:rsidP="0074137D">
      <w:pPr>
        <w:pStyle w:val="Prrafodelista"/>
        <w:numPr>
          <w:ilvl w:val="0"/>
          <w:numId w:val="16"/>
        </w:numPr>
        <w:autoSpaceDE w:val="0"/>
        <w:autoSpaceDN w:val="0"/>
        <w:adjustRightInd w:val="0"/>
        <w:spacing w:after="0" w:line="240" w:lineRule="auto"/>
        <w:ind w:left="709" w:hanging="425"/>
        <w:jc w:val="both"/>
        <w:rPr>
          <w:rFonts w:ascii="Arial" w:hAnsi="Arial" w:cs="Arial"/>
          <w:b/>
          <w:bCs/>
          <w:sz w:val="18"/>
          <w:szCs w:val="18"/>
        </w:rPr>
      </w:pPr>
      <w:r w:rsidRPr="00160940">
        <w:rPr>
          <w:rFonts w:ascii="Arial" w:hAnsi="Arial" w:cs="Arial"/>
          <w:b/>
          <w:bCs/>
          <w:sz w:val="18"/>
          <w:szCs w:val="18"/>
        </w:rPr>
        <w:t xml:space="preserve">Manejo del negocio: Posición competitiva y tamaño del </w:t>
      </w:r>
      <w:r>
        <w:rPr>
          <w:rFonts w:ascii="Arial" w:hAnsi="Arial" w:cs="Arial"/>
          <w:b/>
          <w:bCs/>
          <w:sz w:val="18"/>
          <w:szCs w:val="18"/>
        </w:rPr>
        <w:t>tercero</w:t>
      </w:r>
      <w:r w:rsidRPr="00160940">
        <w:rPr>
          <w:rFonts w:ascii="Arial" w:hAnsi="Arial" w:cs="Arial"/>
          <w:b/>
          <w:bCs/>
          <w:sz w:val="18"/>
          <w:szCs w:val="18"/>
        </w:rPr>
        <w:t xml:space="preserve"> o contraparte. </w:t>
      </w:r>
    </w:p>
    <w:p w14:paraId="44B543B5" w14:textId="77777777" w:rsidR="00976E11" w:rsidRPr="00160940" w:rsidRDefault="00976E11" w:rsidP="0074137D">
      <w:pPr>
        <w:autoSpaceDE w:val="0"/>
        <w:autoSpaceDN w:val="0"/>
        <w:adjustRightInd w:val="0"/>
        <w:spacing w:after="0" w:line="240" w:lineRule="auto"/>
        <w:jc w:val="both"/>
        <w:rPr>
          <w:rFonts w:ascii="Arial" w:hAnsi="Arial" w:cs="Arial"/>
          <w:b/>
          <w:bCs/>
          <w:sz w:val="18"/>
          <w:szCs w:val="18"/>
        </w:rPr>
      </w:pPr>
    </w:p>
    <w:p w14:paraId="78F352C3" w14:textId="77777777" w:rsidR="00976E11" w:rsidRPr="00160940" w:rsidRDefault="00976E11" w:rsidP="0074137D">
      <w:pPr>
        <w:pStyle w:val="Prrafodelista"/>
        <w:numPr>
          <w:ilvl w:val="0"/>
          <w:numId w:val="16"/>
        </w:numPr>
        <w:autoSpaceDE w:val="0"/>
        <w:autoSpaceDN w:val="0"/>
        <w:adjustRightInd w:val="0"/>
        <w:spacing w:after="0" w:line="240" w:lineRule="auto"/>
        <w:ind w:left="709" w:hanging="425"/>
        <w:jc w:val="both"/>
        <w:rPr>
          <w:rFonts w:ascii="Arial" w:hAnsi="Arial" w:cs="Arial"/>
          <w:b/>
          <w:bCs/>
          <w:sz w:val="18"/>
          <w:szCs w:val="18"/>
        </w:rPr>
      </w:pPr>
      <w:r w:rsidRPr="00160940">
        <w:rPr>
          <w:rFonts w:ascii="Arial" w:hAnsi="Arial" w:cs="Arial"/>
          <w:b/>
          <w:bCs/>
          <w:sz w:val="18"/>
          <w:szCs w:val="18"/>
        </w:rPr>
        <w:t>Administración de riesgos: Gestión integral del riesgo y gobierno.</w:t>
      </w:r>
    </w:p>
    <w:p w14:paraId="29BB0524" w14:textId="77777777" w:rsidR="00976E11" w:rsidRPr="00160940" w:rsidRDefault="00976E11" w:rsidP="0074137D">
      <w:pPr>
        <w:autoSpaceDE w:val="0"/>
        <w:autoSpaceDN w:val="0"/>
        <w:adjustRightInd w:val="0"/>
        <w:spacing w:after="0" w:line="240" w:lineRule="auto"/>
        <w:jc w:val="both"/>
        <w:rPr>
          <w:rFonts w:ascii="Arial" w:hAnsi="Arial" w:cs="Arial"/>
          <w:b/>
          <w:bCs/>
          <w:sz w:val="18"/>
          <w:szCs w:val="18"/>
        </w:rPr>
      </w:pPr>
    </w:p>
    <w:p w14:paraId="3E9D6F81" w14:textId="1FA54CF0" w:rsidR="00976E11" w:rsidRDefault="00976E11" w:rsidP="0074137D">
      <w:pPr>
        <w:pStyle w:val="Prrafodelista"/>
        <w:numPr>
          <w:ilvl w:val="0"/>
          <w:numId w:val="16"/>
        </w:numPr>
        <w:autoSpaceDE w:val="0"/>
        <w:autoSpaceDN w:val="0"/>
        <w:adjustRightInd w:val="0"/>
        <w:spacing w:after="0" w:line="240" w:lineRule="auto"/>
        <w:ind w:left="709" w:hanging="425"/>
        <w:jc w:val="both"/>
        <w:rPr>
          <w:rFonts w:ascii="Arial" w:hAnsi="Arial" w:cs="Arial"/>
          <w:b/>
          <w:bCs/>
          <w:sz w:val="18"/>
          <w:szCs w:val="18"/>
        </w:rPr>
      </w:pPr>
      <w:r w:rsidRPr="006867DC">
        <w:rPr>
          <w:rFonts w:ascii="Arial" w:hAnsi="Arial" w:cs="Arial"/>
          <w:b/>
          <w:bCs/>
          <w:sz w:val="18"/>
          <w:szCs w:val="18"/>
        </w:rPr>
        <w:t xml:space="preserve">Riesgo operacional: Políticas, gestión y pruebas de continuidad del negocio. </w:t>
      </w:r>
    </w:p>
    <w:p w14:paraId="7397A026" w14:textId="77777777" w:rsidR="00B523BA" w:rsidRPr="00B523BA" w:rsidRDefault="00B523BA" w:rsidP="00B523BA">
      <w:pPr>
        <w:pStyle w:val="Prrafodelista"/>
        <w:rPr>
          <w:rFonts w:ascii="Arial" w:hAnsi="Arial" w:cs="Arial"/>
          <w:b/>
          <w:bCs/>
          <w:sz w:val="18"/>
          <w:szCs w:val="18"/>
        </w:rPr>
      </w:pPr>
    </w:p>
    <w:p w14:paraId="66DBF301" w14:textId="77777777" w:rsidR="00B523BA" w:rsidRDefault="00B523BA" w:rsidP="00B523BA">
      <w:pPr>
        <w:pStyle w:val="Prrafodelista"/>
        <w:numPr>
          <w:ilvl w:val="0"/>
          <w:numId w:val="16"/>
        </w:numPr>
        <w:autoSpaceDE w:val="0"/>
        <w:autoSpaceDN w:val="0"/>
        <w:adjustRightInd w:val="0"/>
        <w:spacing w:after="0" w:line="240" w:lineRule="auto"/>
        <w:ind w:left="709" w:hanging="425"/>
        <w:jc w:val="both"/>
        <w:rPr>
          <w:rFonts w:ascii="Arial" w:hAnsi="Arial" w:cs="Arial"/>
          <w:b/>
          <w:bCs/>
          <w:sz w:val="18"/>
          <w:szCs w:val="18"/>
        </w:rPr>
      </w:pPr>
      <w:r w:rsidRPr="00160940">
        <w:rPr>
          <w:rFonts w:ascii="Arial" w:hAnsi="Arial" w:cs="Arial"/>
          <w:b/>
          <w:bCs/>
          <w:sz w:val="18"/>
          <w:szCs w:val="18"/>
        </w:rPr>
        <w:t>Seguridad de la información: Políticas, ciberseguridad y capacitación.</w:t>
      </w:r>
    </w:p>
    <w:p w14:paraId="118B5B91" w14:textId="77777777" w:rsidR="00B523BA" w:rsidRPr="00B523BA" w:rsidRDefault="00B523BA" w:rsidP="00B523BA">
      <w:pPr>
        <w:pStyle w:val="Prrafodelista"/>
        <w:rPr>
          <w:rFonts w:ascii="Arial" w:hAnsi="Arial" w:cs="Arial"/>
          <w:b/>
          <w:bCs/>
          <w:sz w:val="18"/>
          <w:szCs w:val="18"/>
        </w:rPr>
      </w:pPr>
    </w:p>
    <w:p w14:paraId="694DC65A" w14:textId="77777777" w:rsidR="00B523BA" w:rsidRPr="00160940" w:rsidRDefault="00B523BA" w:rsidP="00B523BA">
      <w:pPr>
        <w:pStyle w:val="Prrafodelista"/>
        <w:numPr>
          <w:ilvl w:val="0"/>
          <w:numId w:val="16"/>
        </w:numPr>
        <w:autoSpaceDE w:val="0"/>
        <w:autoSpaceDN w:val="0"/>
        <w:adjustRightInd w:val="0"/>
        <w:spacing w:after="0" w:line="240" w:lineRule="auto"/>
        <w:ind w:left="709" w:hanging="425"/>
        <w:jc w:val="both"/>
        <w:rPr>
          <w:rFonts w:ascii="Arial" w:hAnsi="Arial" w:cs="Arial"/>
          <w:b/>
          <w:bCs/>
          <w:sz w:val="18"/>
          <w:szCs w:val="18"/>
        </w:rPr>
      </w:pPr>
      <w:r w:rsidRPr="00160940">
        <w:rPr>
          <w:rFonts w:ascii="Arial" w:hAnsi="Arial" w:cs="Arial"/>
          <w:b/>
          <w:bCs/>
          <w:sz w:val="18"/>
          <w:szCs w:val="18"/>
        </w:rPr>
        <w:t>Experiencia e historial en el mercado: Comportamiento de pago y cumplimiento.</w:t>
      </w:r>
    </w:p>
    <w:p w14:paraId="553C9E22" w14:textId="77777777" w:rsidR="00B523BA" w:rsidRPr="00160940" w:rsidRDefault="00B523BA" w:rsidP="00B523BA">
      <w:pPr>
        <w:pStyle w:val="Prrafodelista"/>
        <w:autoSpaceDE w:val="0"/>
        <w:autoSpaceDN w:val="0"/>
        <w:adjustRightInd w:val="0"/>
        <w:spacing w:after="0" w:line="240" w:lineRule="auto"/>
        <w:ind w:left="709"/>
        <w:jc w:val="both"/>
        <w:rPr>
          <w:rFonts w:ascii="Arial" w:hAnsi="Arial" w:cs="Arial"/>
          <w:b/>
          <w:bCs/>
          <w:sz w:val="18"/>
          <w:szCs w:val="18"/>
        </w:rPr>
      </w:pPr>
    </w:p>
    <w:p w14:paraId="0B6317E0" w14:textId="77777777" w:rsidR="00B523BA" w:rsidRPr="00B523BA" w:rsidRDefault="00B523BA" w:rsidP="00B523BA">
      <w:pPr>
        <w:autoSpaceDE w:val="0"/>
        <w:autoSpaceDN w:val="0"/>
        <w:adjustRightInd w:val="0"/>
        <w:spacing w:after="0" w:line="240" w:lineRule="auto"/>
        <w:jc w:val="both"/>
        <w:rPr>
          <w:rFonts w:ascii="Arial" w:hAnsi="Arial" w:cs="Arial"/>
          <w:b/>
          <w:bCs/>
          <w:sz w:val="18"/>
          <w:szCs w:val="18"/>
        </w:rPr>
      </w:pPr>
    </w:p>
    <w:p w14:paraId="0E6063D9" w14:textId="70BBB477" w:rsidR="00997365" w:rsidRPr="00160940" w:rsidRDefault="00997365" w:rsidP="0014206E">
      <w:pPr>
        <w:tabs>
          <w:tab w:val="left" w:pos="426"/>
          <w:tab w:val="left" w:pos="540"/>
        </w:tabs>
        <w:autoSpaceDE w:val="0"/>
        <w:autoSpaceDN w:val="0"/>
        <w:adjustRightInd w:val="0"/>
        <w:spacing w:after="0" w:line="240" w:lineRule="auto"/>
        <w:jc w:val="both"/>
        <w:rPr>
          <w:rFonts w:ascii="Arial" w:hAnsi="Arial" w:cs="Arial"/>
          <w:b/>
          <w:bCs/>
          <w:sz w:val="18"/>
          <w:szCs w:val="18"/>
        </w:rPr>
      </w:pPr>
      <w:r w:rsidRPr="00160940">
        <w:rPr>
          <w:rFonts w:ascii="Arial" w:hAnsi="Arial" w:cs="Arial"/>
          <w:b/>
          <w:bCs/>
          <w:sz w:val="18"/>
          <w:szCs w:val="18"/>
        </w:rPr>
        <w:t xml:space="preserve">Evaluación </w:t>
      </w:r>
      <w:r w:rsidR="006323C5" w:rsidRPr="00160940">
        <w:rPr>
          <w:rFonts w:ascii="Arial" w:hAnsi="Arial" w:cs="Arial"/>
          <w:b/>
          <w:bCs/>
          <w:sz w:val="18"/>
          <w:szCs w:val="18"/>
        </w:rPr>
        <w:t>cuantitativa</w:t>
      </w:r>
      <w:r w:rsidRPr="00160940">
        <w:rPr>
          <w:rFonts w:ascii="Arial" w:hAnsi="Arial" w:cs="Arial"/>
          <w:b/>
          <w:bCs/>
          <w:sz w:val="18"/>
          <w:szCs w:val="18"/>
        </w:rPr>
        <w:t xml:space="preserve">: </w:t>
      </w:r>
    </w:p>
    <w:p w14:paraId="575D9BC6" w14:textId="77777777" w:rsidR="005C7ED2" w:rsidRPr="00160940" w:rsidRDefault="005C7ED2" w:rsidP="00BB53A5">
      <w:pPr>
        <w:autoSpaceDE w:val="0"/>
        <w:autoSpaceDN w:val="0"/>
        <w:adjustRightInd w:val="0"/>
        <w:spacing w:after="0" w:line="240" w:lineRule="auto"/>
        <w:ind w:left="708"/>
        <w:jc w:val="both"/>
        <w:rPr>
          <w:rFonts w:ascii="Arial" w:hAnsi="Arial" w:cs="Arial"/>
          <w:b/>
          <w:bCs/>
          <w:sz w:val="18"/>
          <w:szCs w:val="18"/>
        </w:rPr>
      </w:pPr>
    </w:p>
    <w:p w14:paraId="1B6DB915" w14:textId="77777777" w:rsidR="0014206E" w:rsidRDefault="006323C5" w:rsidP="00334EAE">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rPr>
        <w:sectPr w:rsidR="0014206E" w:rsidSect="00480D0C">
          <w:headerReference w:type="default" r:id="rId15"/>
          <w:pgSz w:w="12240" w:h="18720" w:code="120"/>
          <w:pgMar w:top="1417" w:right="1701" w:bottom="1417" w:left="1701" w:header="708" w:footer="708" w:gutter="0"/>
          <w:pgBorders>
            <w:left w:val="single" w:sz="4" w:space="4" w:color="auto"/>
          </w:pgBorders>
          <w:cols w:space="708"/>
          <w:docGrid w:linePitch="360"/>
        </w:sectPr>
      </w:pPr>
      <w:r w:rsidRPr="003A1274">
        <w:rPr>
          <w:rFonts w:ascii="Arial" w:hAnsi="Arial" w:cs="Arial"/>
          <w:b/>
          <w:bCs/>
          <w:sz w:val="18"/>
          <w:szCs w:val="18"/>
          <w:lang w:val="es-ES"/>
        </w:rPr>
        <w:t xml:space="preserve">Estabilidad: </w:t>
      </w:r>
      <w:r w:rsidR="00942869" w:rsidRPr="003A1274">
        <w:rPr>
          <w:rFonts w:ascii="Arial" w:hAnsi="Arial" w:cs="Arial"/>
          <w:b/>
          <w:bCs/>
          <w:sz w:val="18"/>
          <w:szCs w:val="18"/>
          <w:lang w:val="es-ES"/>
        </w:rPr>
        <w:t>S</w:t>
      </w:r>
      <w:r w:rsidRPr="003A1274">
        <w:rPr>
          <w:rFonts w:ascii="Arial" w:hAnsi="Arial" w:cs="Arial"/>
          <w:b/>
          <w:bCs/>
          <w:sz w:val="18"/>
          <w:szCs w:val="18"/>
          <w:lang w:val="es-ES"/>
        </w:rPr>
        <w:t>olvencia,</w:t>
      </w:r>
      <w:r w:rsidR="00DB37C2" w:rsidRPr="003A1274">
        <w:rPr>
          <w:rFonts w:ascii="Arial" w:hAnsi="Arial" w:cs="Arial"/>
          <w:b/>
          <w:bCs/>
          <w:sz w:val="18"/>
          <w:szCs w:val="18"/>
          <w:lang w:val="es-ES"/>
        </w:rPr>
        <w:t xml:space="preserve"> capacidad productiva </w:t>
      </w:r>
      <w:r w:rsidR="00A6315A" w:rsidRPr="003A1274">
        <w:rPr>
          <w:rFonts w:ascii="Arial" w:hAnsi="Arial" w:cs="Arial"/>
          <w:b/>
          <w:bCs/>
          <w:sz w:val="18"/>
          <w:szCs w:val="18"/>
          <w:lang w:val="es-ES"/>
        </w:rPr>
        <w:t>de los activos</w:t>
      </w:r>
      <w:r w:rsidR="00DB37C2" w:rsidRPr="003A1274">
        <w:rPr>
          <w:rFonts w:ascii="Arial" w:hAnsi="Arial" w:cs="Arial"/>
          <w:b/>
          <w:bCs/>
          <w:sz w:val="18"/>
          <w:szCs w:val="18"/>
          <w:lang w:val="es-ES"/>
        </w:rPr>
        <w:t>, respaldo patrimonial del grupo económico o empresarial, en caso de existir</w:t>
      </w:r>
      <w:r w:rsidR="00944093" w:rsidRPr="003A1274">
        <w:rPr>
          <w:rFonts w:ascii="Arial" w:hAnsi="Arial" w:cs="Arial"/>
          <w:b/>
          <w:bCs/>
          <w:sz w:val="18"/>
          <w:szCs w:val="18"/>
          <w:lang w:val="es-ES"/>
        </w:rPr>
        <w:t xml:space="preserve">, y calificación de crédito, </w:t>
      </w:r>
      <w:r w:rsidR="00656890" w:rsidRPr="003A1274">
        <w:rPr>
          <w:rFonts w:ascii="Arial" w:hAnsi="Arial" w:cs="Arial"/>
          <w:b/>
          <w:bCs/>
          <w:sz w:val="18"/>
          <w:szCs w:val="18"/>
          <w:lang w:val="es-ES"/>
        </w:rPr>
        <w:t>si resulta aplicable</w:t>
      </w:r>
      <w:r w:rsidR="00AD7C38" w:rsidRPr="003A1274">
        <w:rPr>
          <w:rFonts w:ascii="Arial" w:hAnsi="Arial" w:cs="Arial"/>
          <w:b/>
          <w:bCs/>
          <w:sz w:val="18"/>
          <w:szCs w:val="18"/>
          <w:lang w:val="es-ES"/>
        </w:rPr>
        <w:t xml:space="preserve">. Para estos efectos, se deben considerar indicadores </w:t>
      </w:r>
      <w:r w:rsidR="00B3708A" w:rsidRPr="003A1274">
        <w:rPr>
          <w:rFonts w:ascii="Arial" w:hAnsi="Arial" w:cs="Arial"/>
          <w:b/>
          <w:bCs/>
          <w:sz w:val="18"/>
          <w:szCs w:val="18"/>
          <w:lang w:val="es-ES"/>
        </w:rPr>
        <w:t xml:space="preserve">tales </w:t>
      </w:r>
      <w:r w:rsidR="00AD7C38" w:rsidRPr="003A1274">
        <w:rPr>
          <w:rFonts w:ascii="Arial" w:hAnsi="Arial" w:cs="Arial"/>
          <w:b/>
          <w:bCs/>
          <w:sz w:val="18"/>
          <w:szCs w:val="18"/>
        </w:rPr>
        <w:t>como</w:t>
      </w:r>
      <w:r w:rsidR="00813DED" w:rsidRPr="003A1274">
        <w:rPr>
          <w:rFonts w:ascii="Arial" w:hAnsi="Arial" w:cs="Arial"/>
          <w:b/>
          <w:bCs/>
          <w:sz w:val="18"/>
          <w:szCs w:val="18"/>
        </w:rPr>
        <w:t>:</w:t>
      </w:r>
      <w:r w:rsidR="00AD7C38" w:rsidRPr="003A1274">
        <w:rPr>
          <w:rFonts w:ascii="Arial" w:hAnsi="Arial" w:cs="Arial"/>
          <w:b/>
          <w:bCs/>
          <w:sz w:val="18"/>
          <w:szCs w:val="18"/>
        </w:rPr>
        <w:t xml:space="preserve"> patrimonio</w:t>
      </w:r>
      <w:r w:rsidR="00B3708A" w:rsidRPr="003A1274">
        <w:rPr>
          <w:rFonts w:ascii="Arial" w:hAnsi="Arial" w:cs="Arial"/>
          <w:b/>
          <w:bCs/>
          <w:sz w:val="18"/>
          <w:szCs w:val="18"/>
        </w:rPr>
        <w:t xml:space="preserve"> sobre </w:t>
      </w:r>
      <w:r w:rsidR="00AD7C38" w:rsidRPr="003A1274">
        <w:rPr>
          <w:rFonts w:ascii="Arial" w:hAnsi="Arial" w:cs="Arial"/>
          <w:b/>
          <w:bCs/>
          <w:sz w:val="18"/>
          <w:szCs w:val="18"/>
        </w:rPr>
        <w:t>activos</w:t>
      </w:r>
      <w:r w:rsidR="00B3708A" w:rsidRPr="003A1274">
        <w:rPr>
          <w:rFonts w:ascii="Arial" w:hAnsi="Arial" w:cs="Arial"/>
          <w:b/>
          <w:bCs/>
          <w:sz w:val="18"/>
          <w:szCs w:val="18"/>
        </w:rPr>
        <w:t>,</w:t>
      </w:r>
      <w:r w:rsidR="00AD7C38" w:rsidRPr="003A1274">
        <w:rPr>
          <w:rFonts w:ascii="Arial" w:hAnsi="Arial" w:cs="Arial"/>
          <w:b/>
          <w:bCs/>
          <w:sz w:val="18"/>
          <w:szCs w:val="18"/>
        </w:rPr>
        <w:t xml:space="preserve"> nivel de</w:t>
      </w:r>
      <w:r w:rsidR="00DC1D11">
        <w:rPr>
          <w:rFonts w:ascii="Arial" w:hAnsi="Arial" w:cs="Arial"/>
          <w:b/>
          <w:bCs/>
          <w:sz w:val="18"/>
          <w:szCs w:val="18"/>
        </w:rPr>
        <w:t xml:space="preserve"> </w:t>
      </w:r>
      <w:r w:rsidR="00DC1D11" w:rsidRPr="003A1274">
        <w:rPr>
          <w:rFonts w:ascii="Arial" w:hAnsi="Arial" w:cs="Arial"/>
          <w:b/>
          <w:bCs/>
          <w:sz w:val="18"/>
          <w:szCs w:val="18"/>
        </w:rPr>
        <w:t>endeudamiento, entre otros</w:t>
      </w:r>
      <w:r w:rsidR="00DC1D11">
        <w:rPr>
          <w:rFonts w:ascii="Arial" w:hAnsi="Arial" w:cs="Arial"/>
          <w:b/>
          <w:bCs/>
          <w:sz w:val="18"/>
          <w:szCs w:val="18"/>
        </w:rPr>
        <w:t>.</w:t>
      </w:r>
    </w:p>
    <w:p w14:paraId="3A6EF0D7" w14:textId="11C974E8" w:rsidR="00A83551" w:rsidRPr="003A1274" w:rsidRDefault="00A83551" w:rsidP="00A83551">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lang w:val="es-ES"/>
        </w:rPr>
      </w:pPr>
      <w:r w:rsidRPr="003A1274">
        <w:rPr>
          <w:rFonts w:ascii="Arial" w:hAnsi="Arial" w:cs="Arial"/>
          <w:b/>
          <w:bCs/>
          <w:sz w:val="18"/>
          <w:szCs w:val="18"/>
          <w:lang w:val="es-ES"/>
        </w:rPr>
        <w:lastRenderedPageBreak/>
        <w:t>Calidad: Calidad de los activos, teniendo en cuenta indicadores de calidad y productividad, tales como: liquidez de los activos, volatilidad de su valor razonable, indicadores de comportamiento y cobertura, la relación de activos productivos respecto del total de activos,</w:t>
      </w:r>
      <w:r w:rsidR="00622E0E">
        <w:rPr>
          <w:rFonts w:ascii="Arial" w:hAnsi="Arial" w:cs="Arial"/>
          <w:b/>
          <w:bCs/>
          <w:sz w:val="18"/>
          <w:szCs w:val="18"/>
          <w:lang w:val="es-ES"/>
        </w:rPr>
        <w:t xml:space="preserve"> y el riesgo país de los activos,</w:t>
      </w:r>
      <w:r w:rsidRPr="003A1274">
        <w:rPr>
          <w:rFonts w:ascii="Arial" w:hAnsi="Arial" w:cs="Arial"/>
          <w:b/>
          <w:bCs/>
          <w:sz w:val="18"/>
          <w:szCs w:val="18"/>
          <w:lang w:val="es-ES"/>
        </w:rPr>
        <w:t xml:space="preserve"> entre otros.</w:t>
      </w:r>
    </w:p>
    <w:p w14:paraId="4D1A4038" w14:textId="77777777" w:rsidR="00A83551" w:rsidRPr="00E44C81" w:rsidRDefault="00A83551" w:rsidP="00A83551">
      <w:pPr>
        <w:autoSpaceDE w:val="0"/>
        <w:autoSpaceDN w:val="0"/>
        <w:adjustRightInd w:val="0"/>
        <w:spacing w:after="0" w:line="240" w:lineRule="auto"/>
        <w:jc w:val="both"/>
        <w:rPr>
          <w:rFonts w:ascii="Arial" w:hAnsi="Arial" w:cs="Arial"/>
          <w:b/>
          <w:bCs/>
          <w:sz w:val="18"/>
          <w:szCs w:val="18"/>
          <w:lang w:val="es-ES"/>
        </w:rPr>
      </w:pPr>
    </w:p>
    <w:p w14:paraId="031E9590" w14:textId="6D810567" w:rsidR="00A83551" w:rsidRPr="00160940" w:rsidRDefault="00B15330" w:rsidP="00A83551">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lang w:val="es-ES"/>
        </w:rPr>
      </w:pPr>
      <w:r>
        <w:rPr>
          <w:rFonts w:ascii="Arial" w:hAnsi="Arial" w:cs="Arial"/>
          <w:b/>
          <w:bCs/>
          <w:sz w:val="18"/>
          <w:szCs w:val="18"/>
          <w:lang w:val="es-ES"/>
        </w:rPr>
        <w:t>Gestión administrativa</w:t>
      </w:r>
      <w:r w:rsidR="00A83551" w:rsidRPr="00160940">
        <w:rPr>
          <w:rFonts w:ascii="Arial" w:hAnsi="Arial" w:cs="Arial"/>
          <w:b/>
          <w:bCs/>
          <w:sz w:val="18"/>
          <w:szCs w:val="18"/>
          <w:lang w:val="es-ES"/>
        </w:rPr>
        <w:t>: Análisis de la gestión de los gastos, teniendo en cuenta indicadores de gestión de gastos tales como</w:t>
      </w:r>
      <w:r w:rsidR="00A83551">
        <w:rPr>
          <w:rFonts w:ascii="Arial" w:hAnsi="Arial" w:cs="Arial"/>
          <w:b/>
          <w:bCs/>
          <w:sz w:val="18"/>
          <w:szCs w:val="18"/>
          <w:lang w:val="es-ES"/>
        </w:rPr>
        <w:t>:</w:t>
      </w:r>
      <w:r w:rsidR="00A83551" w:rsidRPr="00160940">
        <w:rPr>
          <w:rFonts w:ascii="Arial" w:hAnsi="Arial" w:cs="Arial"/>
          <w:b/>
          <w:bCs/>
          <w:sz w:val="18"/>
          <w:szCs w:val="18"/>
          <w:lang w:val="es-ES"/>
        </w:rPr>
        <w:t xml:space="preserve"> la relación entre gastos administrativos y margen financiero, el porcentaje que representan los egresos frente a los ingresos, entre otros. </w:t>
      </w:r>
    </w:p>
    <w:p w14:paraId="475C7A65" w14:textId="77777777" w:rsidR="00A83551" w:rsidRPr="00160940" w:rsidRDefault="00A83551" w:rsidP="00A83551">
      <w:pPr>
        <w:autoSpaceDE w:val="0"/>
        <w:autoSpaceDN w:val="0"/>
        <w:adjustRightInd w:val="0"/>
        <w:spacing w:after="0" w:line="240" w:lineRule="auto"/>
        <w:jc w:val="both"/>
        <w:rPr>
          <w:rFonts w:ascii="Arial" w:hAnsi="Arial" w:cs="Arial"/>
          <w:b/>
          <w:bCs/>
          <w:sz w:val="18"/>
          <w:szCs w:val="18"/>
          <w:lang w:val="es-ES"/>
        </w:rPr>
      </w:pPr>
    </w:p>
    <w:p w14:paraId="41D060AA" w14:textId="77777777" w:rsidR="00A83551" w:rsidRPr="00160940" w:rsidRDefault="00A83551" w:rsidP="00A83551">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lang w:val="es-ES"/>
        </w:rPr>
      </w:pPr>
      <w:r w:rsidRPr="00160940">
        <w:rPr>
          <w:rFonts w:ascii="Arial" w:hAnsi="Arial" w:cs="Arial"/>
          <w:b/>
          <w:bCs/>
          <w:sz w:val="18"/>
          <w:szCs w:val="18"/>
          <w:lang w:val="es-ES"/>
        </w:rPr>
        <w:t>Rentabilidad: Análisis del comportamiento de los ingresos y de la rentabilidad del negocio, teniendo en cuenta indicadores tales como</w:t>
      </w:r>
      <w:r>
        <w:rPr>
          <w:rFonts w:ascii="Arial" w:hAnsi="Arial" w:cs="Arial"/>
          <w:b/>
          <w:bCs/>
          <w:sz w:val="18"/>
          <w:szCs w:val="18"/>
          <w:lang w:val="es-ES"/>
        </w:rPr>
        <w:t>:</w:t>
      </w:r>
      <w:r w:rsidRPr="00160940">
        <w:rPr>
          <w:rFonts w:ascii="Arial" w:hAnsi="Arial" w:cs="Arial"/>
          <w:b/>
          <w:bCs/>
          <w:sz w:val="18"/>
          <w:szCs w:val="18"/>
          <w:lang w:val="es-ES"/>
        </w:rPr>
        <w:t xml:space="preserve"> ROE, ROA, entre otros.</w:t>
      </w:r>
    </w:p>
    <w:p w14:paraId="721940C8" w14:textId="77777777" w:rsidR="00A83551" w:rsidRPr="00160940" w:rsidRDefault="00A83551" w:rsidP="00A83551">
      <w:pPr>
        <w:autoSpaceDE w:val="0"/>
        <w:autoSpaceDN w:val="0"/>
        <w:adjustRightInd w:val="0"/>
        <w:spacing w:after="0" w:line="240" w:lineRule="auto"/>
        <w:jc w:val="both"/>
        <w:rPr>
          <w:rFonts w:ascii="Arial" w:hAnsi="Arial" w:cs="Arial"/>
          <w:b/>
          <w:bCs/>
          <w:sz w:val="18"/>
          <w:szCs w:val="18"/>
          <w:lang w:val="es-ES"/>
        </w:rPr>
      </w:pPr>
    </w:p>
    <w:p w14:paraId="4DD72F7E" w14:textId="24D4FEFC" w:rsidR="00A83551" w:rsidRPr="00160940" w:rsidRDefault="00A83551" w:rsidP="00A83551">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lang w:val="es-ES"/>
        </w:rPr>
      </w:pPr>
      <w:r w:rsidRPr="00160940">
        <w:rPr>
          <w:rFonts w:ascii="Arial" w:hAnsi="Arial" w:cs="Arial"/>
          <w:b/>
          <w:bCs/>
          <w:sz w:val="18"/>
          <w:szCs w:val="18"/>
          <w:lang w:val="es-ES"/>
        </w:rPr>
        <w:t>Liquidez: Análisis del comportamiento de la liquidez, considerando</w:t>
      </w:r>
      <w:r w:rsidR="00A759F8">
        <w:rPr>
          <w:rFonts w:ascii="Arial" w:hAnsi="Arial" w:cs="Arial"/>
          <w:b/>
          <w:bCs/>
          <w:sz w:val="18"/>
          <w:szCs w:val="18"/>
          <w:lang w:val="es-ES"/>
        </w:rPr>
        <w:t xml:space="preserve"> el riesgo país</w:t>
      </w:r>
      <w:r w:rsidR="004D39AB">
        <w:rPr>
          <w:rFonts w:ascii="Arial" w:hAnsi="Arial" w:cs="Arial"/>
          <w:b/>
          <w:bCs/>
          <w:sz w:val="18"/>
          <w:szCs w:val="18"/>
          <w:lang w:val="es-ES"/>
        </w:rPr>
        <w:t>,</w:t>
      </w:r>
      <w:r w:rsidRPr="00160940">
        <w:rPr>
          <w:rFonts w:ascii="Arial" w:hAnsi="Arial" w:cs="Arial"/>
          <w:b/>
          <w:bCs/>
          <w:sz w:val="18"/>
          <w:szCs w:val="18"/>
          <w:lang w:val="es-ES"/>
        </w:rPr>
        <w:t xml:space="preserve"> el perfil de vencimiento de los pasivos y la calidad de los activos, utilizando para ello indicadores de liquidez tales como</w:t>
      </w:r>
      <w:r>
        <w:rPr>
          <w:rFonts w:ascii="Arial" w:hAnsi="Arial" w:cs="Arial"/>
          <w:b/>
          <w:bCs/>
          <w:sz w:val="18"/>
          <w:szCs w:val="18"/>
          <w:lang w:val="es-ES"/>
        </w:rPr>
        <w:t>:</w:t>
      </w:r>
      <w:r w:rsidRPr="00160940">
        <w:rPr>
          <w:rFonts w:ascii="Arial" w:hAnsi="Arial" w:cs="Arial"/>
          <w:b/>
          <w:bCs/>
          <w:sz w:val="18"/>
          <w:szCs w:val="18"/>
          <w:lang w:val="es-ES"/>
        </w:rPr>
        <w:t xml:space="preserve"> disponible sobre activos, disponible sobre pasivos de corto plazo e inversiones sobre activos, entre otros.</w:t>
      </w:r>
    </w:p>
    <w:p w14:paraId="5345D1E9" w14:textId="77777777" w:rsidR="00A83551" w:rsidRPr="00160940" w:rsidRDefault="00A83551" w:rsidP="00A83551">
      <w:pPr>
        <w:autoSpaceDE w:val="0"/>
        <w:autoSpaceDN w:val="0"/>
        <w:adjustRightInd w:val="0"/>
        <w:spacing w:after="0" w:line="240" w:lineRule="auto"/>
        <w:jc w:val="both"/>
        <w:rPr>
          <w:rFonts w:ascii="Arial" w:hAnsi="Arial" w:cs="Arial"/>
          <w:b/>
          <w:bCs/>
          <w:sz w:val="18"/>
          <w:szCs w:val="18"/>
          <w:lang w:val="es-ES"/>
        </w:rPr>
      </w:pPr>
    </w:p>
    <w:p w14:paraId="00D5C40F" w14:textId="35641360" w:rsidR="00D877AE" w:rsidRPr="00DE3F54" w:rsidRDefault="00A83551" w:rsidP="00D877AE">
      <w:pPr>
        <w:pStyle w:val="Prrafodelista"/>
        <w:numPr>
          <w:ilvl w:val="0"/>
          <w:numId w:val="13"/>
        </w:numPr>
        <w:autoSpaceDE w:val="0"/>
        <w:autoSpaceDN w:val="0"/>
        <w:adjustRightInd w:val="0"/>
        <w:spacing w:after="0" w:line="240" w:lineRule="auto"/>
        <w:ind w:left="709" w:hanging="425"/>
        <w:contextualSpacing w:val="0"/>
        <w:jc w:val="both"/>
        <w:rPr>
          <w:rFonts w:ascii="Arial" w:hAnsi="Arial" w:cs="Arial"/>
          <w:b/>
          <w:bCs/>
          <w:sz w:val="18"/>
          <w:szCs w:val="18"/>
          <w:lang w:val="es-ES"/>
        </w:rPr>
      </w:pPr>
      <w:r w:rsidRPr="00160940">
        <w:rPr>
          <w:rFonts w:ascii="Arial" w:hAnsi="Arial" w:cs="Arial"/>
          <w:b/>
          <w:bCs/>
          <w:sz w:val="18"/>
          <w:szCs w:val="18"/>
          <w:lang w:val="es-ES"/>
        </w:rPr>
        <w:t>Los demás que la</w:t>
      </w:r>
      <w:r>
        <w:rPr>
          <w:rFonts w:ascii="Arial" w:hAnsi="Arial" w:cs="Arial"/>
          <w:b/>
          <w:bCs/>
          <w:sz w:val="18"/>
          <w:szCs w:val="18"/>
          <w:lang w:val="es-ES"/>
        </w:rPr>
        <w:t>s</w:t>
      </w:r>
      <w:r w:rsidRPr="00160940">
        <w:rPr>
          <w:rFonts w:ascii="Arial" w:hAnsi="Arial" w:cs="Arial"/>
          <w:b/>
          <w:bCs/>
          <w:sz w:val="18"/>
          <w:szCs w:val="18"/>
          <w:lang w:val="es-ES"/>
        </w:rPr>
        <w:t xml:space="preserve"> entidad</w:t>
      </w:r>
      <w:r>
        <w:rPr>
          <w:rFonts w:ascii="Arial" w:hAnsi="Arial" w:cs="Arial"/>
          <w:b/>
          <w:bCs/>
          <w:sz w:val="18"/>
          <w:szCs w:val="18"/>
          <w:lang w:val="es-ES"/>
        </w:rPr>
        <w:t>es</w:t>
      </w:r>
      <w:r w:rsidRPr="00160940">
        <w:rPr>
          <w:rFonts w:ascii="Arial" w:hAnsi="Arial" w:cs="Arial"/>
          <w:b/>
          <w:bCs/>
          <w:sz w:val="18"/>
          <w:szCs w:val="18"/>
          <w:lang w:val="es-ES"/>
        </w:rPr>
        <w:t xml:space="preserve"> considere</w:t>
      </w:r>
      <w:r>
        <w:rPr>
          <w:rFonts w:ascii="Arial" w:hAnsi="Arial" w:cs="Arial"/>
          <w:b/>
          <w:bCs/>
          <w:sz w:val="18"/>
          <w:szCs w:val="18"/>
          <w:lang w:val="es-ES"/>
        </w:rPr>
        <w:t>n</w:t>
      </w:r>
      <w:r w:rsidRPr="00160940">
        <w:rPr>
          <w:rFonts w:ascii="Arial" w:hAnsi="Arial" w:cs="Arial"/>
          <w:b/>
          <w:bCs/>
          <w:sz w:val="18"/>
          <w:szCs w:val="18"/>
          <w:lang w:val="es-ES"/>
        </w:rPr>
        <w:t xml:space="preserve"> relevantes.</w:t>
      </w:r>
    </w:p>
    <w:p w14:paraId="5823EB38" w14:textId="77777777" w:rsidR="00D877AE" w:rsidRDefault="00D877AE" w:rsidP="00DE3F54">
      <w:pPr>
        <w:tabs>
          <w:tab w:val="left" w:pos="284"/>
        </w:tabs>
        <w:autoSpaceDE w:val="0"/>
        <w:autoSpaceDN w:val="0"/>
        <w:adjustRightInd w:val="0"/>
        <w:spacing w:after="0"/>
        <w:jc w:val="both"/>
        <w:rPr>
          <w:rFonts w:ascii="Arial" w:hAnsi="Arial" w:cs="Arial"/>
          <w:b/>
          <w:bCs/>
          <w:sz w:val="18"/>
          <w:szCs w:val="18"/>
        </w:rPr>
      </w:pPr>
    </w:p>
    <w:p w14:paraId="6D6AE255" w14:textId="6E357BF8" w:rsidR="00A83551" w:rsidRPr="00160940" w:rsidRDefault="00D877AE" w:rsidP="00DE3F54">
      <w:pPr>
        <w:tabs>
          <w:tab w:val="left" w:pos="284"/>
        </w:tabs>
        <w:autoSpaceDE w:val="0"/>
        <w:autoSpaceDN w:val="0"/>
        <w:adjustRightInd w:val="0"/>
        <w:jc w:val="both"/>
        <w:rPr>
          <w:rFonts w:ascii="Arial" w:hAnsi="Arial" w:cs="Arial"/>
          <w:b/>
          <w:bCs/>
          <w:sz w:val="18"/>
          <w:szCs w:val="18"/>
          <w:lang w:val="es-ES"/>
        </w:rPr>
      </w:pPr>
      <w:r w:rsidRPr="00160940">
        <w:rPr>
          <w:rFonts w:ascii="Arial" w:hAnsi="Arial" w:cs="Arial"/>
          <w:b/>
          <w:bCs/>
          <w:sz w:val="18"/>
          <w:szCs w:val="18"/>
        </w:rPr>
        <w:t xml:space="preserve">El análisis del perfil de riesgo debe efectuarse de forma previa a la realización de operaciones expuestas al RiC y actualizarse con una periodicidad mínimo de 6 meses. En todo caso, el perfil de riesgo debe revisarse de forma extraordinaria cuando se </w:t>
      </w:r>
      <w:r>
        <w:rPr>
          <w:rFonts w:ascii="Arial" w:hAnsi="Arial" w:cs="Arial"/>
          <w:b/>
          <w:bCs/>
          <w:sz w:val="18"/>
          <w:szCs w:val="18"/>
        </w:rPr>
        <w:t xml:space="preserve">evidencie un </w:t>
      </w:r>
      <w:r w:rsidRPr="00160940">
        <w:rPr>
          <w:rFonts w:ascii="Arial" w:hAnsi="Arial" w:cs="Arial"/>
          <w:b/>
          <w:bCs/>
          <w:sz w:val="18"/>
          <w:szCs w:val="18"/>
        </w:rPr>
        <w:t xml:space="preserve">deterioro de la capacidad de cumplimiento del </w:t>
      </w:r>
      <w:r>
        <w:rPr>
          <w:rFonts w:ascii="Arial" w:hAnsi="Arial" w:cs="Arial"/>
          <w:b/>
          <w:bCs/>
          <w:sz w:val="18"/>
          <w:szCs w:val="18"/>
        </w:rPr>
        <w:t>tercero</w:t>
      </w:r>
      <w:r w:rsidRPr="00160940">
        <w:rPr>
          <w:rFonts w:ascii="Arial" w:hAnsi="Arial" w:cs="Arial"/>
          <w:b/>
          <w:bCs/>
          <w:sz w:val="18"/>
          <w:szCs w:val="18"/>
        </w:rPr>
        <w:t xml:space="preserve"> o de la contraparte, o cuando se hayan presentado eventos de incumplimiento.</w:t>
      </w:r>
    </w:p>
    <w:p w14:paraId="3EED1E1A" w14:textId="4E345625" w:rsidR="004F3F0A" w:rsidRDefault="00A83551" w:rsidP="00A83551">
      <w:pPr>
        <w:pStyle w:val="Prrafodelista"/>
        <w:numPr>
          <w:ilvl w:val="0"/>
          <w:numId w:val="12"/>
        </w:numPr>
        <w:ind w:left="284" w:hanging="284"/>
        <w:jc w:val="both"/>
        <w:rPr>
          <w:rFonts w:ascii="Arial" w:hAnsi="Arial" w:cs="Arial"/>
          <w:b/>
          <w:bCs/>
          <w:sz w:val="18"/>
          <w:szCs w:val="18"/>
        </w:rPr>
      </w:pPr>
      <w:r w:rsidRPr="26E3A651">
        <w:rPr>
          <w:rFonts w:ascii="Arial" w:hAnsi="Arial" w:cs="Arial"/>
          <w:b/>
          <w:bCs/>
          <w:sz w:val="18"/>
          <w:szCs w:val="18"/>
        </w:rPr>
        <w:t xml:space="preserve">Concentración: Las entidades deben identificar si tienen una concentración de RiC con uno o varios terceros o contrapartes, o con un grupo de terceros o contrapartes que constituyan una misma fuente de riesgo por tener el carácter de vinculados entre sí. </w:t>
      </w:r>
    </w:p>
    <w:p w14:paraId="09821CE5" w14:textId="77777777" w:rsidR="004F3F0A" w:rsidRDefault="004F3F0A" w:rsidP="004F3F0A">
      <w:pPr>
        <w:pStyle w:val="Prrafodelista"/>
        <w:ind w:left="284"/>
        <w:jc w:val="both"/>
        <w:rPr>
          <w:rFonts w:ascii="Arial" w:hAnsi="Arial" w:cs="Arial"/>
          <w:b/>
          <w:bCs/>
          <w:sz w:val="18"/>
          <w:szCs w:val="18"/>
        </w:rPr>
      </w:pPr>
    </w:p>
    <w:p w14:paraId="5977CA0C" w14:textId="77777777" w:rsidR="007C69AD" w:rsidRPr="00160940" w:rsidRDefault="004F3F0A" w:rsidP="007C69AD">
      <w:pPr>
        <w:pStyle w:val="Prrafodelista"/>
        <w:ind w:left="284"/>
        <w:jc w:val="both"/>
        <w:rPr>
          <w:rFonts w:ascii="Arial" w:hAnsi="Arial" w:cs="Arial"/>
          <w:b/>
          <w:bCs/>
          <w:sz w:val="18"/>
          <w:szCs w:val="18"/>
        </w:rPr>
      </w:pPr>
      <w:r w:rsidRPr="005B7D1F">
        <w:rPr>
          <w:rFonts w:ascii="Arial" w:hAnsi="Arial" w:cs="Arial"/>
          <w:b/>
          <w:bCs/>
          <w:sz w:val="18"/>
          <w:szCs w:val="18"/>
        </w:rPr>
        <w:t>Para efectos de determinar la calidad de vinculados entre terceros o contrapartes, se deberán aplicar los criterios establecidos en el literal b) del numeral 2 del artículo 7.3.1.1.2 del Decreto 2555 de 2010,</w:t>
      </w:r>
      <w:r w:rsidR="007C69AD">
        <w:rPr>
          <w:rFonts w:ascii="Arial" w:hAnsi="Arial" w:cs="Arial"/>
          <w:b/>
          <w:bCs/>
          <w:sz w:val="18"/>
          <w:szCs w:val="18"/>
        </w:rPr>
        <w:t xml:space="preserve"> </w:t>
      </w:r>
      <w:r w:rsidR="007C69AD" w:rsidRPr="26E3A651">
        <w:rPr>
          <w:rFonts w:ascii="Arial" w:hAnsi="Arial" w:cs="Arial"/>
          <w:b/>
          <w:bCs/>
          <w:sz w:val="18"/>
          <w:szCs w:val="18"/>
        </w:rPr>
        <w:t>o aquellas disposiciones que lo modifiquen, adicionen o sustituyan, sin importar la industria en la que operen dichos terceros o contrapartes.</w:t>
      </w:r>
    </w:p>
    <w:p w14:paraId="638F1575" w14:textId="77777777" w:rsidR="007C69AD" w:rsidRPr="00160940" w:rsidRDefault="007C69AD" w:rsidP="007C69AD">
      <w:pPr>
        <w:pStyle w:val="Prrafodelista"/>
        <w:ind w:left="284"/>
        <w:jc w:val="both"/>
        <w:rPr>
          <w:rFonts w:ascii="Arial" w:hAnsi="Arial" w:cs="Arial"/>
          <w:b/>
          <w:bCs/>
          <w:sz w:val="18"/>
          <w:szCs w:val="18"/>
        </w:rPr>
      </w:pPr>
    </w:p>
    <w:p w14:paraId="049CFB9C" w14:textId="41426D71" w:rsidR="0042556B" w:rsidRPr="0042556B" w:rsidRDefault="007C69AD" w:rsidP="0042556B">
      <w:pPr>
        <w:pStyle w:val="Prrafodelista"/>
        <w:ind w:left="284"/>
        <w:jc w:val="both"/>
        <w:rPr>
          <w:rFonts w:ascii="Arial" w:hAnsi="Arial" w:cs="Arial"/>
          <w:b/>
          <w:bCs/>
          <w:sz w:val="18"/>
          <w:szCs w:val="18"/>
        </w:rPr>
      </w:pPr>
      <w:r w:rsidRPr="00160940">
        <w:rPr>
          <w:rFonts w:ascii="Arial" w:hAnsi="Arial" w:cs="Arial"/>
          <w:b/>
          <w:bCs/>
          <w:sz w:val="18"/>
          <w:szCs w:val="18"/>
        </w:rPr>
        <w:t>En este sentido, la</w:t>
      </w:r>
      <w:r>
        <w:rPr>
          <w:rFonts w:ascii="Arial" w:hAnsi="Arial" w:cs="Arial"/>
          <w:b/>
          <w:bCs/>
          <w:sz w:val="18"/>
          <w:szCs w:val="18"/>
        </w:rPr>
        <w:t>s</w:t>
      </w:r>
      <w:r w:rsidRPr="00160940">
        <w:rPr>
          <w:rFonts w:ascii="Arial" w:hAnsi="Arial" w:cs="Arial"/>
          <w:b/>
          <w:bCs/>
          <w:sz w:val="18"/>
          <w:szCs w:val="18"/>
        </w:rPr>
        <w:t xml:space="preserve"> entidad</w:t>
      </w:r>
      <w:r>
        <w:rPr>
          <w:rFonts w:ascii="Arial" w:hAnsi="Arial" w:cs="Arial"/>
          <w:b/>
          <w:bCs/>
          <w:sz w:val="18"/>
          <w:szCs w:val="18"/>
        </w:rPr>
        <w:t>es</w:t>
      </w:r>
      <w:r w:rsidRPr="00160940">
        <w:rPr>
          <w:rFonts w:ascii="Arial" w:hAnsi="Arial" w:cs="Arial"/>
          <w:b/>
          <w:bCs/>
          <w:sz w:val="18"/>
          <w:szCs w:val="18"/>
        </w:rPr>
        <w:t xml:space="preserve"> debe</w:t>
      </w:r>
      <w:r>
        <w:rPr>
          <w:rFonts w:ascii="Arial" w:hAnsi="Arial" w:cs="Arial"/>
          <w:b/>
          <w:bCs/>
          <w:sz w:val="18"/>
          <w:szCs w:val="18"/>
        </w:rPr>
        <w:t>n</w:t>
      </w:r>
      <w:r w:rsidRPr="00160940">
        <w:rPr>
          <w:rFonts w:ascii="Arial" w:hAnsi="Arial" w:cs="Arial"/>
          <w:b/>
          <w:bCs/>
          <w:sz w:val="18"/>
          <w:szCs w:val="18"/>
        </w:rPr>
        <w:t xml:space="preserve"> realizar el análisis de concentración tanto individual como consolidado de </w:t>
      </w:r>
      <w:r>
        <w:rPr>
          <w:rFonts w:ascii="Arial" w:hAnsi="Arial" w:cs="Arial"/>
          <w:b/>
          <w:bCs/>
          <w:sz w:val="18"/>
          <w:szCs w:val="18"/>
        </w:rPr>
        <w:t>los terceros</w:t>
      </w:r>
      <w:r w:rsidRPr="00160940">
        <w:rPr>
          <w:rFonts w:ascii="Arial" w:hAnsi="Arial" w:cs="Arial"/>
          <w:b/>
          <w:bCs/>
          <w:sz w:val="18"/>
          <w:szCs w:val="18"/>
        </w:rPr>
        <w:t>, contrapartes y sus respectivos vinculados, con base en la información que repose en la propi</w:t>
      </w:r>
      <w:r>
        <w:rPr>
          <w:rFonts w:ascii="Arial" w:hAnsi="Arial" w:cs="Arial"/>
          <w:b/>
          <w:bCs/>
          <w:sz w:val="18"/>
          <w:szCs w:val="18"/>
        </w:rPr>
        <w:t>a</w:t>
      </w:r>
      <w:r w:rsidRPr="00160940">
        <w:rPr>
          <w:rFonts w:ascii="Arial" w:hAnsi="Arial" w:cs="Arial"/>
          <w:b/>
          <w:bCs/>
          <w:sz w:val="18"/>
          <w:szCs w:val="18"/>
        </w:rPr>
        <w:t xml:space="preserve"> entidad y, además, aquella que se encuentre disponible a través de otros mecanismos o herramientas autorizadas o habilitadas a las que tenga acceso.</w:t>
      </w:r>
    </w:p>
    <w:p w14:paraId="4E68017F" w14:textId="6C8F5EB7" w:rsidR="00DE3F54" w:rsidRDefault="0042556B" w:rsidP="0042556B">
      <w:pPr>
        <w:autoSpaceDE w:val="0"/>
        <w:autoSpaceDN w:val="0"/>
        <w:adjustRightInd w:val="0"/>
        <w:jc w:val="both"/>
        <w:rPr>
          <w:rFonts w:ascii="Arial" w:hAnsi="Arial" w:cs="Arial"/>
          <w:b/>
          <w:bCs/>
          <w:sz w:val="18"/>
          <w:szCs w:val="18"/>
        </w:rPr>
      </w:pPr>
      <w:r>
        <w:rPr>
          <w:rFonts w:ascii="Arial" w:hAnsi="Arial" w:cs="Arial"/>
          <w:b/>
          <w:bCs/>
          <w:sz w:val="18"/>
          <w:szCs w:val="18"/>
        </w:rPr>
        <w:t>Para los factores de riesgo</w:t>
      </w:r>
      <w:r w:rsidR="00DE3F54">
        <w:rPr>
          <w:rFonts w:ascii="Arial" w:hAnsi="Arial" w:cs="Arial"/>
          <w:b/>
          <w:bCs/>
          <w:sz w:val="18"/>
          <w:szCs w:val="18"/>
        </w:rPr>
        <w:t xml:space="preserve"> previstos en los literales a), b) y d)</w:t>
      </w:r>
      <w:r>
        <w:rPr>
          <w:rFonts w:ascii="Arial" w:hAnsi="Arial" w:cs="Arial"/>
          <w:b/>
          <w:bCs/>
          <w:sz w:val="18"/>
          <w:szCs w:val="18"/>
        </w:rPr>
        <w:t>, las entidades deben establecer políticas y procedimientos para su revisión.</w:t>
      </w:r>
    </w:p>
    <w:p w14:paraId="31B16B1B" w14:textId="30E7F9D4" w:rsidR="0042556B" w:rsidRPr="00160940" w:rsidRDefault="0042556B" w:rsidP="0042556B">
      <w:pPr>
        <w:autoSpaceDE w:val="0"/>
        <w:autoSpaceDN w:val="0"/>
        <w:adjustRightInd w:val="0"/>
        <w:jc w:val="both"/>
        <w:rPr>
          <w:rFonts w:ascii="Arial" w:hAnsi="Arial" w:cs="Arial"/>
          <w:b/>
          <w:bCs/>
          <w:sz w:val="18"/>
          <w:szCs w:val="18"/>
        </w:rPr>
      </w:pPr>
      <w:r w:rsidRPr="00160940">
        <w:rPr>
          <w:rFonts w:ascii="Arial" w:hAnsi="Arial" w:cs="Arial"/>
          <w:b/>
          <w:bCs/>
          <w:sz w:val="18"/>
          <w:szCs w:val="18"/>
        </w:rPr>
        <w:t>La identificación y análisis del RiC</w:t>
      </w:r>
      <w:r>
        <w:rPr>
          <w:rFonts w:ascii="Arial" w:hAnsi="Arial" w:cs="Arial"/>
          <w:b/>
          <w:bCs/>
          <w:sz w:val="18"/>
          <w:szCs w:val="18"/>
        </w:rPr>
        <w:t>,</w:t>
      </w:r>
      <w:r w:rsidRPr="00160940">
        <w:rPr>
          <w:rFonts w:ascii="Arial" w:hAnsi="Arial" w:cs="Arial"/>
          <w:b/>
          <w:bCs/>
          <w:sz w:val="18"/>
          <w:szCs w:val="18"/>
        </w:rPr>
        <w:t xml:space="preserve"> de acuerdo con los factores de riesgo relacionados anteriormente</w:t>
      </w:r>
      <w:r>
        <w:rPr>
          <w:rFonts w:ascii="Arial" w:hAnsi="Arial" w:cs="Arial"/>
          <w:b/>
          <w:bCs/>
          <w:sz w:val="18"/>
          <w:szCs w:val="18"/>
        </w:rPr>
        <w:t>,</w:t>
      </w:r>
      <w:r w:rsidRPr="00160940">
        <w:rPr>
          <w:rFonts w:ascii="Arial" w:hAnsi="Arial" w:cs="Arial"/>
          <w:b/>
          <w:bCs/>
          <w:sz w:val="18"/>
          <w:szCs w:val="18"/>
        </w:rPr>
        <w:t xml:space="preserve"> deberá realizarse teniendo en cuenta la naturaleza jurídica, objeto social, modelo de negocio y complejidad de las actividades que desarrolla cada tipo de </w:t>
      </w:r>
      <w:r>
        <w:rPr>
          <w:rFonts w:ascii="Arial" w:hAnsi="Arial" w:cs="Arial"/>
          <w:b/>
          <w:bCs/>
          <w:sz w:val="18"/>
          <w:szCs w:val="18"/>
        </w:rPr>
        <w:t>tercero</w:t>
      </w:r>
      <w:r w:rsidRPr="00160940">
        <w:rPr>
          <w:rFonts w:ascii="Arial" w:hAnsi="Arial" w:cs="Arial"/>
          <w:b/>
          <w:bCs/>
          <w:sz w:val="18"/>
          <w:szCs w:val="18"/>
        </w:rPr>
        <w:t xml:space="preserve"> o contraparte, según corresponda.  Adicionalmente, las entidades deben establecer criterios aplicables según los tipos de </w:t>
      </w:r>
      <w:r>
        <w:rPr>
          <w:rFonts w:ascii="Arial" w:hAnsi="Arial" w:cs="Arial"/>
          <w:b/>
          <w:bCs/>
          <w:sz w:val="18"/>
          <w:szCs w:val="18"/>
        </w:rPr>
        <w:t>tercero</w:t>
      </w:r>
      <w:r w:rsidRPr="00160940">
        <w:rPr>
          <w:rFonts w:ascii="Arial" w:hAnsi="Arial" w:cs="Arial"/>
          <w:b/>
          <w:bCs/>
          <w:sz w:val="18"/>
          <w:szCs w:val="18"/>
        </w:rPr>
        <w:t xml:space="preserve"> o contraparte establecidos en sus modelos de segmentación intern</w:t>
      </w:r>
      <w:r>
        <w:rPr>
          <w:rFonts w:ascii="Arial" w:hAnsi="Arial" w:cs="Arial"/>
          <w:b/>
          <w:bCs/>
          <w:sz w:val="18"/>
          <w:szCs w:val="18"/>
        </w:rPr>
        <w:t>os</w:t>
      </w:r>
      <w:r w:rsidRPr="00160940">
        <w:rPr>
          <w:rFonts w:ascii="Arial" w:hAnsi="Arial" w:cs="Arial"/>
          <w:b/>
          <w:bCs/>
          <w:sz w:val="18"/>
          <w:szCs w:val="18"/>
        </w:rPr>
        <w:t>, con l</w:t>
      </w:r>
      <w:r>
        <w:rPr>
          <w:rFonts w:ascii="Arial" w:hAnsi="Arial" w:cs="Arial"/>
          <w:b/>
          <w:bCs/>
          <w:sz w:val="18"/>
          <w:szCs w:val="18"/>
        </w:rPr>
        <w:t>o</w:t>
      </w:r>
      <w:r w:rsidRPr="00160940">
        <w:rPr>
          <w:rFonts w:ascii="Arial" w:hAnsi="Arial" w:cs="Arial"/>
          <w:b/>
          <w:bCs/>
          <w:sz w:val="18"/>
          <w:szCs w:val="18"/>
        </w:rPr>
        <w:t>s cuales realiza operaciones. Así mismo, las entidades deben tener en cuenta el RiC asociado a los acuerdos celebrados entre un miembro liquidador y un miembro no liquidador para efectos del acceso a una CRCC.</w:t>
      </w:r>
    </w:p>
    <w:p w14:paraId="7E66A70C" w14:textId="77777777" w:rsidR="0042556B" w:rsidRDefault="0042556B" w:rsidP="0042556B">
      <w:pPr>
        <w:autoSpaceDE w:val="0"/>
        <w:autoSpaceDN w:val="0"/>
        <w:adjustRightInd w:val="0"/>
        <w:jc w:val="both"/>
        <w:rPr>
          <w:rFonts w:ascii="Arial" w:hAnsi="Arial" w:cs="Arial"/>
          <w:b/>
          <w:bCs/>
          <w:sz w:val="18"/>
          <w:szCs w:val="18"/>
        </w:rPr>
      </w:pPr>
      <w:r w:rsidRPr="00160940">
        <w:rPr>
          <w:rFonts w:ascii="Arial" w:hAnsi="Arial" w:cs="Arial"/>
          <w:b/>
          <w:bCs/>
          <w:sz w:val="18"/>
          <w:szCs w:val="18"/>
        </w:rPr>
        <w:t>La exposición por RiC será 0 para aquellas operaciones cuya contraparte sea la Nación, una CRCC, el Banco de la República, el Banco Mundial, el Banco de Pagos Internacionales, el Fondo Monetario Internacional, el Banco Interamericano de Desarrollo, el Banco Central Europeo y los vehículos de inversión, organismos y agencias que hagan parte o sean administrados por estos, así como los avalados o garantizados por estos.</w:t>
      </w:r>
    </w:p>
    <w:p w14:paraId="65FD03F4" w14:textId="77777777" w:rsidR="0042556B" w:rsidRPr="00160940" w:rsidRDefault="0042556B" w:rsidP="0042556B">
      <w:pPr>
        <w:pStyle w:val="Prrafodelista"/>
        <w:numPr>
          <w:ilvl w:val="3"/>
          <w:numId w:val="1"/>
        </w:numPr>
        <w:rPr>
          <w:rFonts w:ascii="Arial" w:hAnsi="Arial" w:cs="Arial"/>
          <w:b/>
          <w:bCs/>
          <w:sz w:val="18"/>
          <w:szCs w:val="18"/>
        </w:rPr>
      </w:pPr>
      <w:r w:rsidRPr="00160940">
        <w:rPr>
          <w:rFonts w:ascii="Arial" w:hAnsi="Arial" w:cs="Arial"/>
          <w:b/>
          <w:bCs/>
          <w:sz w:val="18"/>
          <w:szCs w:val="18"/>
        </w:rPr>
        <w:t xml:space="preserve">Medición </w:t>
      </w:r>
    </w:p>
    <w:p w14:paraId="3D023279" w14:textId="77777777" w:rsidR="00E9121E" w:rsidRDefault="0042556B" w:rsidP="000C6AA3">
      <w:pPr>
        <w:jc w:val="both"/>
        <w:rPr>
          <w:rFonts w:ascii="Arial" w:hAnsi="Arial" w:cs="Arial"/>
          <w:b/>
          <w:bCs/>
          <w:sz w:val="18"/>
          <w:szCs w:val="18"/>
        </w:rPr>
      </w:pPr>
      <w:r w:rsidRPr="00160940">
        <w:rPr>
          <w:rFonts w:ascii="Arial" w:hAnsi="Arial" w:cs="Arial"/>
          <w:b/>
          <w:bCs/>
          <w:sz w:val="18"/>
          <w:szCs w:val="18"/>
        </w:rPr>
        <w:t xml:space="preserve">Las entidades deben implementar modelos internos que permitan una adecuada valoración y </w:t>
      </w:r>
      <w:r w:rsidR="001D1EFA">
        <w:rPr>
          <w:rFonts w:ascii="Arial" w:hAnsi="Arial" w:cs="Arial"/>
          <w:b/>
          <w:bCs/>
          <w:sz w:val="18"/>
          <w:szCs w:val="18"/>
        </w:rPr>
        <w:t>estimación</w:t>
      </w:r>
      <w:r w:rsidRPr="00160940">
        <w:rPr>
          <w:rFonts w:ascii="Arial" w:hAnsi="Arial" w:cs="Arial"/>
          <w:b/>
          <w:bCs/>
          <w:sz w:val="18"/>
          <w:szCs w:val="18"/>
        </w:rPr>
        <w:t xml:space="preserve"> de la probabilidad de ocurrencia o materialización del RiC y su posible impacto en los resultados y liquidez.</w:t>
      </w:r>
    </w:p>
    <w:p w14:paraId="185732E9" w14:textId="77777777" w:rsidR="00E9121E" w:rsidRDefault="009F5A49" w:rsidP="000C6AA3">
      <w:pPr>
        <w:jc w:val="both"/>
        <w:rPr>
          <w:rFonts w:ascii="Arial" w:hAnsi="Arial" w:cs="Arial"/>
          <w:b/>
          <w:bCs/>
          <w:sz w:val="18"/>
          <w:szCs w:val="18"/>
        </w:rPr>
        <w:sectPr w:rsidR="00E9121E" w:rsidSect="006C1B60">
          <w:headerReference w:type="default" r:id="rId16"/>
          <w:pgSz w:w="12240" w:h="18720" w:code="120"/>
          <w:pgMar w:top="1417" w:right="1701" w:bottom="1417" w:left="1701" w:header="708" w:footer="708" w:gutter="0"/>
          <w:pgBorders>
            <w:left w:val="single" w:sz="4" w:space="4" w:color="auto"/>
          </w:pgBorders>
          <w:cols w:space="708"/>
          <w:docGrid w:linePitch="360"/>
        </w:sectPr>
      </w:pPr>
      <w:r>
        <w:rPr>
          <w:rFonts w:ascii="Arial" w:hAnsi="Arial" w:cs="Arial"/>
          <w:b/>
          <w:bCs/>
          <w:sz w:val="18"/>
          <w:szCs w:val="18"/>
        </w:rPr>
        <w:t>L</w:t>
      </w:r>
      <w:r w:rsidR="000C6AA3" w:rsidRPr="26E3A651">
        <w:rPr>
          <w:rFonts w:ascii="Arial" w:hAnsi="Arial" w:cs="Arial"/>
          <w:b/>
          <w:bCs/>
          <w:sz w:val="18"/>
          <w:szCs w:val="18"/>
        </w:rPr>
        <w:t>as entidades tendrán en cuenta, como mínimo, la identificación, registro y análisis de los eventos propios de RiC que se hayan materializado durante un periodo de tiempo no inferior a los últimos 5 años, así como la demás información que resulte pertinente. En caso de no contar con la referida información, deben usar la información histórica disponible y realizar simulaciones razonables estadísticamente</w:t>
      </w:r>
      <w:r w:rsidR="005E1E6F">
        <w:rPr>
          <w:rFonts w:ascii="Arial" w:hAnsi="Arial" w:cs="Arial"/>
          <w:b/>
          <w:bCs/>
          <w:sz w:val="18"/>
          <w:szCs w:val="18"/>
        </w:rPr>
        <w:t>;</w:t>
      </w:r>
      <w:r w:rsidR="000C6AA3" w:rsidRPr="26E3A651">
        <w:rPr>
          <w:rFonts w:ascii="Arial" w:hAnsi="Arial" w:cs="Arial"/>
          <w:b/>
          <w:bCs/>
          <w:sz w:val="18"/>
          <w:szCs w:val="18"/>
        </w:rPr>
        <w:t xml:space="preserve"> en el evento de no contar con ninguna información histórica deberá</w:t>
      </w:r>
      <w:r w:rsidR="00886FA7">
        <w:rPr>
          <w:rFonts w:ascii="Arial" w:hAnsi="Arial" w:cs="Arial"/>
          <w:b/>
          <w:bCs/>
          <w:sz w:val="18"/>
          <w:szCs w:val="18"/>
        </w:rPr>
        <w:t>n</w:t>
      </w:r>
      <w:r w:rsidR="000C6AA3" w:rsidRPr="26E3A651">
        <w:rPr>
          <w:rFonts w:ascii="Arial" w:hAnsi="Arial" w:cs="Arial"/>
          <w:b/>
          <w:bCs/>
          <w:sz w:val="18"/>
          <w:szCs w:val="18"/>
        </w:rPr>
        <w:t xml:space="preserve"> implementar metodologías de simulación técnicamente aceptadas. </w:t>
      </w:r>
      <w:r w:rsidR="00886FA7">
        <w:rPr>
          <w:rFonts w:ascii="Arial" w:hAnsi="Arial" w:cs="Arial"/>
          <w:b/>
          <w:bCs/>
          <w:sz w:val="18"/>
          <w:szCs w:val="18"/>
        </w:rPr>
        <w:t>Los</w:t>
      </w:r>
      <w:r w:rsidR="00105E88">
        <w:rPr>
          <w:rFonts w:ascii="Arial" w:hAnsi="Arial" w:cs="Arial"/>
          <w:b/>
          <w:bCs/>
          <w:sz w:val="18"/>
          <w:szCs w:val="18"/>
        </w:rPr>
        <w:t xml:space="preserve"> </w:t>
      </w:r>
      <w:r w:rsidR="000C6AA3" w:rsidRPr="26E3A651">
        <w:rPr>
          <w:rFonts w:ascii="Arial" w:hAnsi="Arial" w:cs="Arial"/>
          <w:b/>
          <w:bCs/>
          <w:sz w:val="18"/>
          <w:szCs w:val="18"/>
        </w:rPr>
        <w:t>modelos internos y metodologías implementadas deben ser suficientes para realizar estimaciones robustas estadísticamente y deben remitirse para no objeción por parte de la SFC. En caso de que se hayan incorporado supuestos, estos deben estar claramente sustentados.</w:t>
      </w:r>
    </w:p>
    <w:p w14:paraId="468E8A53" w14:textId="77777777" w:rsidR="000C6AA3" w:rsidRPr="00160940" w:rsidRDefault="000C6AA3" w:rsidP="00011F18">
      <w:pPr>
        <w:pBdr>
          <w:left w:val="single" w:sz="4" w:space="4" w:color="auto"/>
        </w:pBdr>
        <w:jc w:val="both"/>
        <w:rPr>
          <w:rFonts w:ascii="Arial" w:hAnsi="Arial" w:cs="Arial"/>
          <w:b/>
          <w:bCs/>
          <w:sz w:val="18"/>
          <w:szCs w:val="18"/>
        </w:rPr>
      </w:pPr>
      <w:r w:rsidRPr="00160940">
        <w:rPr>
          <w:rFonts w:ascii="Arial" w:hAnsi="Arial" w:cs="Arial"/>
          <w:b/>
          <w:bCs/>
          <w:sz w:val="18"/>
          <w:szCs w:val="18"/>
        </w:rPr>
        <w:lastRenderedPageBreak/>
        <w:t>La medición del RiC asociado a las operaciones de derivados financieros y productos estructurados se realizará de conformidad con las reglas previstas en el Anexo 3 del Capítulo XVIII de la presente Circular.</w:t>
      </w:r>
    </w:p>
    <w:p w14:paraId="655D7714" w14:textId="77777777" w:rsidR="000C6AA3" w:rsidRDefault="000C6AA3" w:rsidP="00011F18">
      <w:pPr>
        <w:pBdr>
          <w:left w:val="single" w:sz="4" w:space="4" w:color="auto"/>
        </w:pBdr>
        <w:jc w:val="both"/>
        <w:rPr>
          <w:rFonts w:ascii="Arial" w:hAnsi="Arial" w:cs="Arial"/>
          <w:b/>
          <w:bCs/>
          <w:sz w:val="18"/>
          <w:szCs w:val="18"/>
        </w:rPr>
      </w:pPr>
      <w:r w:rsidRPr="00160940">
        <w:rPr>
          <w:rFonts w:ascii="Arial" w:hAnsi="Arial" w:cs="Arial"/>
          <w:b/>
          <w:bCs/>
          <w:sz w:val="18"/>
          <w:szCs w:val="18"/>
        </w:rPr>
        <w:t>Para las demás operaciones expuestas al RiC, los modelos internos de las entidades deben contemplar, como mínimo, las métricas que se indican en el Anexo 16 del presente Capítulo.</w:t>
      </w:r>
    </w:p>
    <w:p w14:paraId="2F20D4D6" w14:textId="1D2D38F3" w:rsidR="00867128" w:rsidRDefault="00C32727" w:rsidP="00011F18">
      <w:pPr>
        <w:pStyle w:val="Prrafodelista"/>
        <w:numPr>
          <w:ilvl w:val="3"/>
          <w:numId w:val="1"/>
        </w:numPr>
        <w:pBdr>
          <w:left w:val="single" w:sz="4" w:space="4" w:color="auto"/>
        </w:pBdr>
        <w:jc w:val="both"/>
        <w:rPr>
          <w:rFonts w:ascii="Arial" w:hAnsi="Arial" w:cs="Arial"/>
          <w:b/>
          <w:bCs/>
          <w:sz w:val="18"/>
          <w:szCs w:val="18"/>
        </w:rPr>
      </w:pPr>
      <w:r w:rsidRPr="00160940">
        <w:rPr>
          <w:rFonts w:ascii="Arial" w:hAnsi="Arial" w:cs="Arial"/>
          <w:b/>
          <w:bCs/>
          <w:sz w:val="18"/>
          <w:szCs w:val="18"/>
        </w:rPr>
        <w:t>Control</w:t>
      </w:r>
    </w:p>
    <w:p w14:paraId="471C8095" w14:textId="77777777" w:rsidR="00867128" w:rsidRPr="002F3F21" w:rsidRDefault="00867128" w:rsidP="00011F18">
      <w:pPr>
        <w:pBdr>
          <w:left w:val="single" w:sz="4" w:space="4" w:color="auto"/>
        </w:pBdr>
        <w:jc w:val="both"/>
        <w:rPr>
          <w:rFonts w:ascii="Arial" w:hAnsi="Arial" w:cs="Arial"/>
          <w:b/>
          <w:bCs/>
          <w:sz w:val="18"/>
          <w:szCs w:val="18"/>
        </w:rPr>
      </w:pPr>
      <w:r w:rsidRPr="002F3F21">
        <w:rPr>
          <w:rFonts w:ascii="Arial" w:hAnsi="Arial" w:cs="Arial"/>
          <w:b/>
          <w:bCs/>
          <w:sz w:val="18"/>
          <w:szCs w:val="18"/>
        </w:rPr>
        <w:t xml:space="preserve">Las entidades deben implementar mecanismos para controlar las exposiciones al RiC. Estos mecanismos deben tener en cuenta situaciones en las que: (i) las exposiciones resulten más significativas para las entidades, (ii) la posición crediticia de los terceros o contrapartes se debilite, y (iii) el mercado esté en una situación de estrés. Igualmente, las entidades deben considerar el riesgo de contravía derivado de riesgos secundarios. </w:t>
      </w:r>
    </w:p>
    <w:p w14:paraId="58D599CA" w14:textId="32AA777B" w:rsidR="00867128" w:rsidRPr="002F3F21" w:rsidRDefault="00867128" w:rsidP="00011F18">
      <w:pPr>
        <w:pBdr>
          <w:left w:val="single" w:sz="4" w:space="4" w:color="auto"/>
        </w:pBdr>
        <w:jc w:val="both"/>
        <w:rPr>
          <w:rFonts w:ascii="Arial" w:hAnsi="Arial" w:cs="Arial"/>
          <w:b/>
          <w:bCs/>
          <w:sz w:val="18"/>
          <w:szCs w:val="18"/>
        </w:rPr>
      </w:pPr>
      <w:r w:rsidRPr="002F3F21">
        <w:rPr>
          <w:rFonts w:ascii="Arial" w:hAnsi="Arial" w:cs="Arial"/>
          <w:b/>
          <w:bCs/>
          <w:sz w:val="18"/>
          <w:szCs w:val="18"/>
        </w:rPr>
        <w:t>Para la mitigación del RiC asociado a los terceros o contrapartes con las que se tenga mayor exposición, las entidades deben adoptar un enfoque integrado que permita evaluar los vínculos entre el apalancamiento, el riesgo de mercado y el riesgo de liquidez.</w:t>
      </w:r>
    </w:p>
    <w:p w14:paraId="612C8A9B" w14:textId="77777777" w:rsidR="00837D50" w:rsidRPr="00160940" w:rsidRDefault="00837D50" w:rsidP="00011F18">
      <w:pPr>
        <w:pBdr>
          <w:left w:val="single" w:sz="4" w:space="4" w:color="auto"/>
        </w:pBdr>
        <w:jc w:val="both"/>
        <w:rPr>
          <w:rFonts w:ascii="Arial" w:hAnsi="Arial" w:cs="Arial"/>
          <w:b/>
          <w:bCs/>
          <w:sz w:val="18"/>
          <w:szCs w:val="18"/>
          <w:lang w:val="es-ES"/>
        </w:rPr>
      </w:pPr>
      <w:r w:rsidRPr="00160940">
        <w:rPr>
          <w:rFonts w:ascii="Arial" w:hAnsi="Arial" w:cs="Arial"/>
          <w:b/>
          <w:bCs/>
          <w:sz w:val="18"/>
          <w:szCs w:val="18"/>
          <w:lang w:val="es-ES"/>
        </w:rPr>
        <w:t>Las entidades que realicen operaciones expuestas a RiC por cuenta propia o por cuenta de terceros deberán:</w:t>
      </w:r>
    </w:p>
    <w:p w14:paraId="04CE4B5B" w14:textId="77777777" w:rsidR="00837D50" w:rsidRDefault="00837D50" w:rsidP="00011F18">
      <w:pPr>
        <w:pStyle w:val="Prrafodelista"/>
        <w:numPr>
          <w:ilvl w:val="0"/>
          <w:numId w:val="27"/>
        </w:numPr>
        <w:pBdr>
          <w:left w:val="single" w:sz="4" w:space="4" w:color="auto"/>
        </w:pBdr>
        <w:ind w:left="284" w:hanging="284"/>
        <w:jc w:val="both"/>
        <w:rPr>
          <w:rFonts w:ascii="Arial" w:hAnsi="Arial" w:cs="Arial"/>
          <w:b/>
          <w:bCs/>
          <w:sz w:val="18"/>
          <w:szCs w:val="18"/>
          <w:lang w:val="es-ES"/>
        </w:rPr>
      </w:pPr>
      <w:r w:rsidRPr="00614856">
        <w:rPr>
          <w:rFonts w:ascii="Arial" w:hAnsi="Arial" w:cs="Arial"/>
          <w:b/>
          <w:bCs/>
          <w:sz w:val="18"/>
          <w:szCs w:val="18"/>
          <w:lang w:val="es-ES"/>
        </w:rPr>
        <w:t>Establecer los mercados en los cuales puede actuar la entidad por cuenta propia y de terceros, así como el tipo de operaciones expuestas a RiC autorizadas.</w:t>
      </w:r>
    </w:p>
    <w:p w14:paraId="792D9CE0" w14:textId="77777777" w:rsidR="00837D50" w:rsidRDefault="00837D50" w:rsidP="00011F18">
      <w:pPr>
        <w:pStyle w:val="Prrafodelista"/>
        <w:pBdr>
          <w:left w:val="single" w:sz="4" w:space="4" w:color="auto"/>
        </w:pBdr>
        <w:ind w:left="0"/>
        <w:jc w:val="both"/>
        <w:rPr>
          <w:rFonts w:ascii="Arial" w:hAnsi="Arial" w:cs="Arial"/>
          <w:b/>
          <w:bCs/>
          <w:sz w:val="18"/>
          <w:szCs w:val="18"/>
          <w:lang w:val="es-ES"/>
        </w:rPr>
      </w:pPr>
    </w:p>
    <w:p w14:paraId="65E82DC4" w14:textId="191FAB70" w:rsidR="00837D50" w:rsidRDefault="00837D50" w:rsidP="00011F18">
      <w:pPr>
        <w:pStyle w:val="Prrafodelista"/>
        <w:numPr>
          <w:ilvl w:val="0"/>
          <w:numId w:val="27"/>
        </w:numPr>
        <w:pBdr>
          <w:left w:val="single" w:sz="4" w:space="4" w:color="auto"/>
        </w:pBdr>
        <w:ind w:left="284" w:hanging="284"/>
        <w:jc w:val="both"/>
        <w:rPr>
          <w:rFonts w:ascii="Arial" w:hAnsi="Arial" w:cs="Arial"/>
          <w:b/>
          <w:bCs/>
          <w:sz w:val="18"/>
          <w:szCs w:val="18"/>
          <w:lang w:val="es-ES"/>
        </w:rPr>
      </w:pPr>
      <w:r w:rsidRPr="00614856">
        <w:rPr>
          <w:rFonts w:ascii="Arial" w:hAnsi="Arial" w:cs="Arial"/>
          <w:b/>
          <w:bCs/>
          <w:sz w:val="18"/>
          <w:szCs w:val="18"/>
          <w:lang w:val="es-ES"/>
        </w:rPr>
        <w:t>Definir un procedimiento para la selección, vinculación</w:t>
      </w:r>
      <w:r w:rsidR="00F76AE5">
        <w:rPr>
          <w:rFonts w:ascii="Arial" w:hAnsi="Arial" w:cs="Arial"/>
          <w:b/>
          <w:bCs/>
          <w:sz w:val="18"/>
          <w:szCs w:val="18"/>
          <w:lang w:val="es-ES"/>
        </w:rPr>
        <w:t>, seguimiento</w:t>
      </w:r>
      <w:r w:rsidRPr="00614856">
        <w:rPr>
          <w:rFonts w:ascii="Arial" w:hAnsi="Arial" w:cs="Arial"/>
          <w:b/>
          <w:bCs/>
          <w:sz w:val="18"/>
          <w:szCs w:val="18"/>
          <w:lang w:val="es-ES"/>
        </w:rPr>
        <w:t xml:space="preserve"> y aprobación de operaciones, </w:t>
      </w:r>
      <w:r>
        <w:rPr>
          <w:rFonts w:ascii="Arial" w:hAnsi="Arial" w:cs="Arial"/>
          <w:b/>
          <w:bCs/>
          <w:sz w:val="18"/>
          <w:szCs w:val="18"/>
          <w:lang w:val="es-ES"/>
        </w:rPr>
        <w:t>terceros</w:t>
      </w:r>
      <w:r w:rsidRPr="00614856">
        <w:rPr>
          <w:rFonts w:ascii="Arial" w:hAnsi="Arial" w:cs="Arial"/>
          <w:b/>
          <w:bCs/>
          <w:sz w:val="18"/>
          <w:szCs w:val="18"/>
          <w:lang w:val="es-ES"/>
        </w:rPr>
        <w:t xml:space="preserve"> y contrapartes.</w:t>
      </w:r>
    </w:p>
    <w:p w14:paraId="1730A3BA" w14:textId="77777777" w:rsidR="00837D50" w:rsidRPr="00011F18" w:rsidRDefault="00837D50" w:rsidP="00011F18">
      <w:pPr>
        <w:pStyle w:val="Prrafodelista"/>
        <w:pBdr>
          <w:left w:val="single" w:sz="4" w:space="4" w:color="auto"/>
        </w:pBdr>
        <w:ind w:left="0"/>
        <w:rPr>
          <w:rFonts w:ascii="Arial" w:hAnsi="Arial" w:cs="Arial"/>
          <w:b/>
          <w:bCs/>
          <w:sz w:val="18"/>
          <w:szCs w:val="18"/>
          <w:lang w:val="es-ES"/>
        </w:rPr>
      </w:pPr>
    </w:p>
    <w:p w14:paraId="4005E326" w14:textId="3503B97A" w:rsidR="00837D50" w:rsidRPr="00271F75" w:rsidRDefault="00837D50" w:rsidP="00011F18">
      <w:pPr>
        <w:pStyle w:val="Prrafodelista"/>
        <w:numPr>
          <w:ilvl w:val="0"/>
          <w:numId w:val="27"/>
        </w:numPr>
        <w:pBdr>
          <w:left w:val="single" w:sz="4" w:space="4" w:color="auto"/>
        </w:pBdr>
        <w:ind w:left="284" w:hanging="284"/>
        <w:jc w:val="both"/>
        <w:rPr>
          <w:rFonts w:ascii="Arial" w:hAnsi="Arial" w:cs="Arial"/>
          <w:b/>
          <w:bCs/>
          <w:sz w:val="18"/>
          <w:szCs w:val="18"/>
          <w:lang w:val="es-ES"/>
        </w:rPr>
      </w:pPr>
      <w:r w:rsidRPr="00614856">
        <w:rPr>
          <w:rFonts w:ascii="Arial" w:hAnsi="Arial" w:cs="Arial"/>
          <w:b/>
          <w:bCs/>
          <w:sz w:val="18"/>
          <w:szCs w:val="18"/>
        </w:rPr>
        <w:t xml:space="preserve">Documentar el estudio del perfil de riesgo de cada uno de los </w:t>
      </w:r>
      <w:r>
        <w:rPr>
          <w:rFonts w:ascii="Arial" w:hAnsi="Arial" w:cs="Arial"/>
          <w:b/>
          <w:bCs/>
          <w:sz w:val="18"/>
          <w:szCs w:val="18"/>
        </w:rPr>
        <w:t>terceros</w:t>
      </w:r>
      <w:r w:rsidRPr="00614856">
        <w:rPr>
          <w:rFonts w:ascii="Arial" w:hAnsi="Arial" w:cs="Arial"/>
          <w:b/>
          <w:bCs/>
          <w:sz w:val="18"/>
          <w:szCs w:val="18"/>
        </w:rPr>
        <w:t xml:space="preserve"> y contrapartes. </w:t>
      </w:r>
    </w:p>
    <w:p w14:paraId="3CE7F4B5" w14:textId="77777777" w:rsidR="00837D50" w:rsidRPr="00271F75" w:rsidRDefault="00837D50" w:rsidP="00011F18">
      <w:pPr>
        <w:pStyle w:val="Prrafodelista"/>
        <w:pBdr>
          <w:left w:val="single" w:sz="4" w:space="4" w:color="auto"/>
        </w:pBdr>
        <w:ind w:left="0"/>
        <w:rPr>
          <w:rFonts w:ascii="Arial" w:hAnsi="Arial" w:cs="Arial"/>
          <w:b/>
          <w:bCs/>
          <w:sz w:val="18"/>
          <w:szCs w:val="18"/>
          <w:lang w:val="es-ES"/>
        </w:rPr>
      </w:pPr>
    </w:p>
    <w:p w14:paraId="4167AA42" w14:textId="2D5D7BFB" w:rsidR="00942F6E" w:rsidRPr="00104323" w:rsidRDefault="00837D50" w:rsidP="00011F18">
      <w:pPr>
        <w:pStyle w:val="Prrafodelista"/>
        <w:numPr>
          <w:ilvl w:val="0"/>
          <w:numId w:val="27"/>
        </w:numPr>
        <w:pBdr>
          <w:left w:val="single" w:sz="4" w:space="4" w:color="auto"/>
        </w:pBdr>
        <w:ind w:left="284" w:hanging="284"/>
        <w:jc w:val="both"/>
        <w:rPr>
          <w:rFonts w:ascii="Arial" w:hAnsi="Arial" w:cs="Arial"/>
          <w:b/>
          <w:bCs/>
          <w:sz w:val="18"/>
          <w:szCs w:val="18"/>
        </w:rPr>
      </w:pPr>
      <w:r w:rsidRPr="00837D50">
        <w:rPr>
          <w:rFonts w:ascii="Arial" w:hAnsi="Arial" w:cs="Arial"/>
          <w:b/>
          <w:bCs/>
          <w:sz w:val="18"/>
          <w:szCs w:val="18"/>
          <w:lang w:val="es-ES"/>
        </w:rPr>
        <w:t xml:space="preserve">Establecer límites y cupos de operación de acuerdo con </w:t>
      </w:r>
      <w:r w:rsidR="00F9056E">
        <w:rPr>
          <w:rFonts w:ascii="Arial" w:hAnsi="Arial" w:cs="Arial"/>
          <w:b/>
          <w:bCs/>
          <w:sz w:val="18"/>
          <w:szCs w:val="18"/>
          <w:lang w:val="es-ES"/>
        </w:rPr>
        <w:t>lo previsto en el</w:t>
      </w:r>
      <w:r w:rsidRPr="00837D50">
        <w:rPr>
          <w:rFonts w:ascii="Arial" w:hAnsi="Arial" w:cs="Arial"/>
          <w:b/>
          <w:bCs/>
          <w:sz w:val="18"/>
          <w:szCs w:val="18"/>
          <w:lang w:val="es-ES"/>
        </w:rPr>
        <w:t xml:space="preserve"> subnumeral</w:t>
      </w:r>
      <w:r w:rsidR="00F9056E">
        <w:rPr>
          <w:rFonts w:ascii="Arial" w:hAnsi="Arial" w:cs="Arial"/>
          <w:b/>
          <w:bCs/>
          <w:sz w:val="18"/>
          <w:szCs w:val="18"/>
          <w:lang w:val="es-ES"/>
        </w:rPr>
        <w:t xml:space="preserve"> 7.2.2</w:t>
      </w:r>
      <w:r w:rsidRPr="00837D50">
        <w:rPr>
          <w:rFonts w:ascii="Arial" w:hAnsi="Arial" w:cs="Arial"/>
          <w:b/>
          <w:bCs/>
          <w:sz w:val="18"/>
          <w:szCs w:val="18"/>
          <w:lang w:val="es-ES"/>
        </w:rPr>
        <w:t>.</w:t>
      </w:r>
    </w:p>
    <w:p w14:paraId="371C4E05" w14:textId="77777777" w:rsidR="00104323" w:rsidRPr="00104323" w:rsidRDefault="00104323" w:rsidP="00011F18">
      <w:pPr>
        <w:pStyle w:val="Prrafodelista"/>
        <w:pBdr>
          <w:left w:val="single" w:sz="4" w:space="4" w:color="auto"/>
        </w:pBdr>
        <w:ind w:left="0"/>
        <w:rPr>
          <w:rFonts w:ascii="Arial" w:hAnsi="Arial" w:cs="Arial"/>
          <w:b/>
          <w:bCs/>
          <w:sz w:val="18"/>
          <w:szCs w:val="18"/>
        </w:rPr>
      </w:pPr>
    </w:p>
    <w:p w14:paraId="54B822CF" w14:textId="34DA920F" w:rsidR="00104323" w:rsidRDefault="0078285F" w:rsidP="00011F18">
      <w:pPr>
        <w:pStyle w:val="Prrafodelista"/>
        <w:numPr>
          <w:ilvl w:val="3"/>
          <w:numId w:val="1"/>
        </w:numPr>
        <w:pBdr>
          <w:left w:val="single" w:sz="4" w:space="4" w:color="auto"/>
        </w:pBdr>
        <w:jc w:val="both"/>
        <w:rPr>
          <w:rFonts w:ascii="Arial" w:hAnsi="Arial" w:cs="Arial"/>
          <w:b/>
          <w:bCs/>
          <w:sz w:val="18"/>
          <w:szCs w:val="18"/>
        </w:rPr>
      </w:pPr>
      <w:r>
        <w:rPr>
          <w:rFonts w:ascii="Arial" w:hAnsi="Arial" w:cs="Arial"/>
          <w:b/>
          <w:bCs/>
          <w:sz w:val="18"/>
          <w:szCs w:val="18"/>
        </w:rPr>
        <w:t xml:space="preserve">Monitoreo </w:t>
      </w:r>
    </w:p>
    <w:p w14:paraId="19BFC5E0" w14:textId="55387875" w:rsidR="0078285F" w:rsidRPr="0078285F" w:rsidRDefault="0078285F" w:rsidP="00011F18">
      <w:pPr>
        <w:pBdr>
          <w:left w:val="single" w:sz="4" w:space="4" w:color="auto"/>
        </w:pBdr>
        <w:jc w:val="both"/>
        <w:rPr>
          <w:rFonts w:ascii="Arial" w:hAnsi="Arial" w:cs="Arial"/>
          <w:b/>
          <w:bCs/>
          <w:sz w:val="18"/>
          <w:szCs w:val="18"/>
          <w:lang w:val="es-ES"/>
        </w:rPr>
      </w:pPr>
      <w:r w:rsidRPr="0078285F">
        <w:rPr>
          <w:rFonts w:ascii="Arial" w:hAnsi="Arial" w:cs="Arial"/>
          <w:b/>
          <w:bCs/>
          <w:sz w:val="18"/>
          <w:szCs w:val="18"/>
          <w:lang w:val="es-ES"/>
        </w:rPr>
        <w:t>Las entidades que realicen operaciones expuestas a RiC por cuenta propia o por cuenta de terceros deben:</w:t>
      </w:r>
    </w:p>
    <w:p w14:paraId="769CA43A" w14:textId="77777777" w:rsidR="00773296" w:rsidRDefault="007C1229" w:rsidP="00011F18">
      <w:pPr>
        <w:pStyle w:val="Prrafodelista"/>
        <w:numPr>
          <w:ilvl w:val="0"/>
          <w:numId w:val="31"/>
        </w:numPr>
        <w:pBdr>
          <w:left w:val="single" w:sz="4" w:space="4" w:color="auto"/>
        </w:pBdr>
        <w:ind w:left="284" w:hanging="284"/>
        <w:jc w:val="both"/>
        <w:rPr>
          <w:rFonts w:ascii="Arial" w:hAnsi="Arial" w:cs="Arial"/>
          <w:b/>
          <w:bCs/>
          <w:sz w:val="18"/>
          <w:szCs w:val="18"/>
          <w:lang w:val="es-ES"/>
        </w:rPr>
      </w:pPr>
      <w:r w:rsidRPr="00DD1F97">
        <w:rPr>
          <w:rFonts w:ascii="Arial" w:hAnsi="Arial" w:cs="Arial"/>
          <w:b/>
          <w:bCs/>
          <w:sz w:val="18"/>
          <w:szCs w:val="18"/>
          <w:lang w:val="es-ES"/>
        </w:rPr>
        <w:t xml:space="preserve">Revisar por lo menos cada 6 meses los perfiles de riesgo de sus contrapartes. </w:t>
      </w:r>
    </w:p>
    <w:p w14:paraId="49B19E62" w14:textId="77777777" w:rsidR="00773296" w:rsidRDefault="00773296" w:rsidP="00011F18">
      <w:pPr>
        <w:pStyle w:val="Prrafodelista"/>
        <w:pBdr>
          <w:left w:val="single" w:sz="4" w:space="4" w:color="auto"/>
        </w:pBdr>
        <w:ind w:left="0"/>
        <w:jc w:val="both"/>
        <w:rPr>
          <w:rFonts w:ascii="Arial" w:hAnsi="Arial" w:cs="Arial"/>
          <w:b/>
          <w:bCs/>
          <w:sz w:val="18"/>
          <w:szCs w:val="18"/>
          <w:lang w:val="es-ES"/>
        </w:rPr>
      </w:pPr>
    </w:p>
    <w:p w14:paraId="42468C34" w14:textId="18F02351" w:rsidR="007C1229" w:rsidRPr="00773296" w:rsidRDefault="009A37A6" w:rsidP="00011F18">
      <w:pPr>
        <w:pStyle w:val="Prrafodelista"/>
        <w:numPr>
          <w:ilvl w:val="0"/>
          <w:numId w:val="31"/>
        </w:numPr>
        <w:pBdr>
          <w:left w:val="single" w:sz="4" w:space="4" w:color="auto"/>
        </w:pBdr>
        <w:ind w:left="284" w:hanging="284"/>
        <w:jc w:val="both"/>
        <w:rPr>
          <w:rFonts w:ascii="Arial" w:hAnsi="Arial" w:cs="Arial"/>
          <w:b/>
          <w:bCs/>
          <w:sz w:val="18"/>
          <w:szCs w:val="18"/>
          <w:lang w:val="es-ES"/>
        </w:rPr>
      </w:pPr>
      <w:r>
        <w:rPr>
          <w:rFonts w:ascii="Arial" w:hAnsi="Arial" w:cs="Arial"/>
          <w:b/>
          <w:bCs/>
          <w:sz w:val="18"/>
          <w:szCs w:val="18"/>
          <w:lang w:val="es-ES"/>
        </w:rPr>
        <w:t>Revisar</w:t>
      </w:r>
      <w:r w:rsidR="0068793C" w:rsidRPr="00773296">
        <w:rPr>
          <w:rFonts w:ascii="Arial" w:hAnsi="Arial" w:cs="Arial"/>
          <w:b/>
          <w:bCs/>
          <w:sz w:val="18"/>
          <w:szCs w:val="18"/>
          <w:lang w:val="es-ES"/>
        </w:rPr>
        <w:t xml:space="preserve"> por lo menos cada 6 meses los cupos y límites</w:t>
      </w:r>
      <w:r w:rsidR="00477A7A" w:rsidRPr="00773296">
        <w:rPr>
          <w:rFonts w:ascii="Arial" w:hAnsi="Arial" w:cs="Arial"/>
          <w:b/>
          <w:bCs/>
          <w:sz w:val="18"/>
          <w:szCs w:val="18"/>
          <w:lang w:val="es-ES"/>
        </w:rPr>
        <w:t xml:space="preserve"> definidos</w:t>
      </w:r>
      <w:r w:rsidR="0068793C" w:rsidRPr="00773296">
        <w:rPr>
          <w:rFonts w:ascii="Arial" w:hAnsi="Arial" w:cs="Arial"/>
          <w:b/>
          <w:bCs/>
          <w:sz w:val="18"/>
          <w:szCs w:val="18"/>
          <w:lang w:val="es-ES"/>
        </w:rPr>
        <w:t>.</w:t>
      </w:r>
      <w:r w:rsidR="00773296" w:rsidRPr="00773296">
        <w:rPr>
          <w:rFonts w:ascii="Arial" w:hAnsi="Arial" w:cs="Arial"/>
          <w:b/>
          <w:bCs/>
          <w:sz w:val="18"/>
          <w:szCs w:val="18"/>
          <w:lang w:val="es-ES"/>
        </w:rPr>
        <w:t xml:space="preserve"> Dichas revisiones deben incorporar los cambios en el perfil de riesgo o del comportamiento de otros factores de riesgo que definan las entidades, así como aquellos que resulten de los ajustes en</w:t>
      </w:r>
      <w:r w:rsidR="00773296">
        <w:rPr>
          <w:rFonts w:ascii="Arial" w:hAnsi="Arial" w:cs="Arial"/>
          <w:b/>
          <w:bCs/>
          <w:sz w:val="18"/>
          <w:szCs w:val="18"/>
          <w:lang w:val="es-ES"/>
        </w:rPr>
        <w:t xml:space="preserve"> </w:t>
      </w:r>
      <w:r w:rsidR="00773296" w:rsidRPr="00773296">
        <w:rPr>
          <w:rFonts w:ascii="Arial" w:hAnsi="Arial" w:cs="Arial"/>
          <w:b/>
          <w:bCs/>
          <w:sz w:val="18"/>
          <w:szCs w:val="18"/>
          <w:lang w:val="es-ES"/>
        </w:rPr>
        <w:t>los lineamientos sobre la gestión del riesgo</w:t>
      </w:r>
      <w:r w:rsidR="00C1073E">
        <w:rPr>
          <w:rFonts w:ascii="Arial" w:hAnsi="Arial" w:cs="Arial"/>
          <w:b/>
          <w:bCs/>
          <w:sz w:val="18"/>
          <w:szCs w:val="18"/>
          <w:lang w:val="es-ES"/>
        </w:rPr>
        <w:t>.</w:t>
      </w:r>
    </w:p>
    <w:p w14:paraId="7434C92E" w14:textId="77777777" w:rsidR="0068793C" w:rsidRPr="00DD1F97" w:rsidRDefault="0068793C" w:rsidP="00011F18">
      <w:pPr>
        <w:pStyle w:val="Prrafodelista"/>
        <w:pBdr>
          <w:left w:val="single" w:sz="4" w:space="4" w:color="auto"/>
        </w:pBdr>
        <w:ind w:left="0"/>
        <w:jc w:val="both"/>
        <w:rPr>
          <w:rFonts w:ascii="Arial" w:hAnsi="Arial" w:cs="Arial"/>
          <w:b/>
          <w:bCs/>
          <w:sz w:val="18"/>
          <w:szCs w:val="18"/>
          <w:lang w:val="es-ES"/>
        </w:rPr>
      </w:pPr>
    </w:p>
    <w:p w14:paraId="71B39555" w14:textId="0AA399C8" w:rsidR="00B36A12" w:rsidRPr="00B36A12" w:rsidRDefault="00B36A12" w:rsidP="00011F18">
      <w:pPr>
        <w:pStyle w:val="Prrafodelista"/>
        <w:numPr>
          <w:ilvl w:val="0"/>
          <w:numId w:val="31"/>
        </w:numPr>
        <w:pBdr>
          <w:left w:val="single" w:sz="4" w:space="4" w:color="auto"/>
        </w:pBdr>
        <w:ind w:left="284" w:hanging="284"/>
        <w:jc w:val="both"/>
        <w:rPr>
          <w:rFonts w:ascii="Arial" w:hAnsi="Arial" w:cs="Arial"/>
          <w:b/>
          <w:bCs/>
          <w:sz w:val="18"/>
          <w:szCs w:val="18"/>
          <w:lang w:val="es-ES"/>
        </w:rPr>
      </w:pPr>
      <w:r>
        <w:rPr>
          <w:rFonts w:ascii="Arial" w:hAnsi="Arial" w:cs="Arial"/>
          <w:b/>
          <w:bCs/>
          <w:sz w:val="18"/>
          <w:szCs w:val="18"/>
          <w:lang w:val="es-ES"/>
        </w:rPr>
        <w:t>Monitorear de</w:t>
      </w:r>
      <w:r w:rsidR="007A4D6F">
        <w:rPr>
          <w:rFonts w:ascii="Arial" w:hAnsi="Arial" w:cs="Arial"/>
          <w:b/>
          <w:bCs/>
          <w:sz w:val="18"/>
          <w:szCs w:val="18"/>
          <w:lang w:val="es-ES"/>
        </w:rPr>
        <w:t>sde la celebración hasta la liquidación de las operaciones la evolución de su exposición</w:t>
      </w:r>
      <w:r w:rsidR="0056291D">
        <w:rPr>
          <w:rFonts w:ascii="Arial" w:hAnsi="Arial" w:cs="Arial"/>
          <w:b/>
          <w:bCs/>
          <w:sz w:val="18"/>
          <w:szCs w:val="18"/>
          <w:lang w:val="es-ES"/>
        </w:rPr>
        <w:t xml:space="preserve"> al RiC</w:t>
      </w:r>
      <w:r w:rsidR="002B4193">
        <w:rPr>
          <w:rFonts w:ascii="Arial" w:hAnsi="Arial" w:cs="Arial"/>
          <w:b/>
          <w:bCs/>
          <w:sz w:val="18"/>
          <w:szCs w:val="18"/>
          <w:lang w:val="es-ES"/>
        </w:rPr>
        <w:t xml:space="preserve"> a través de reportes que permitan identificar alertas tempranas</w:t>
      </w:r>
      <w:r w:rsidR="0056291D">
        <w:rPr>
          <w:rFonts w:ascii="Arial" w:hAnsi="Arial" w:cs="Arial"/>
          <w:b/>
          <w:bCs/>
          <w:sz w:val="18"/>
          <w:szCs w:val="18"/>
          <w:lang w:val="es-ES"/>
        </w:rPr>
        <w:t>.</w:t>
      </w:r>
    </w:p>
    <w:p w14:paraId="4321F046" w14:textId="77777777" w:rsidR="00B36A12" w:rsidRDefault="00B36A12" w:rsidP="00011F18">
      <w:pPr>
        <w:pStyle w:val="Prrafodelista"/>
        <w:pBdr>
          <w:left w:val="single" w:sz="4" w:space="4" w:color="auto"/>
        </w:pBdr>
        <w:ind w:left="0"/>
        <w:jc w:val="both"/>
        <w:rPr>
          <w:rFonts w:ascii="Arial" w:hAnsi="Arial" w:cs="Arial"/>
          <w:b/>
          <w:bCs/>
          <w:sz w:val="18"/>
          <w:szCs w:val="18"/>
          <w:lang w:val="es-ES"/>
        </w:rPr>
      </w:pPr>
    </w:p>
    <w:p w14:paraId="15298089" w14:textId="123AFFED" w:rsidR="0068793C" w:rsidRPr="00DD1F97" w:rsidRDefault="003B7E86" w:rsidP="00011F18">
      <w:pPr>
        <w:pStyle w:val="Prrafodelista"/>
        <w:numPr>
          <w:ilvl w:val="0"/>
          <w:numId w:val="31"/>
        </w:numPr>
        <w:pBdr>
          <w:left w:val="single" w:sz="4" w:space="4" w:color="auto"/>
        </w:pBdr>
        <w:ind w:left="284" w:hanging="284"/>
        <w:jc w:val="both"/>
        <w:rPr>
          <w:rFonts w:ascii="Arial" w:hAnsi="Arial" w:cs="Arial"/>
          <w:b/>
          <w:bCs/>
          <w:sz w:val="18"/>
          <w:szCs w:val="18"/>
          <w:lang w:val="es-ES"/>
        </w:rPr>
      </w:pPr>
      <w:r w:rsidRPr="00DD1F97">
        <w:rPr>
          <w:rFonts w:ascii="Arial" w:hAnsi="Arial" w:cs="Arial"/>
          <w:b/>
          <w:bCs/>
          <w:sz w:val="18"/>
          <w:szCs w:val="18"/>
          <w:lang w:val="es-ES"/>
        </w:rPr>
        <w:t xml:space="preserve">Realizar un seguimiento permanente al cumplimiento </w:t>
      </w:r>
      <w:r w:rsidR="003278BA" w:rsidRPr="00DD1F97">
        <w:rPr>
          <w:rFonts w:ascii="Arial" w:hAnsi="Arial" w:cs="Arial"/>
          <w:b/>
          <w:bCs/>
          <w:sz w:val="18"/>
          <w:szCs w:val="18"/>
          <w:lang w:val="es-ES"/>
        </w:rPr>
        <w:t xml:space="preserve">de los cupos y límites aplicables </w:t>
      </w:r>
      <w:r w:rsidR="00477A7A" w:rsidRPr="00DD1F97">
        <w:rPr>
          <w:rFonts w:ascii="Arial" w:hAnsi="Arial" w:cs="Arial"/>
          <w:b/>
          <w:bCs/>
          <w:sz w:val="18"/>
          <w:szCs w:val="18"/>
          <w:lang w:val="es-ES"/>
        </w:rPr>
        <w:t xml:space="preserve">por parte </w:t>
      </w:r>
      <w:r w:rsidR="00A076E9" w:rsidRPr="00DD1F97">
        <w:rPr>
          <w:rFonts w:ascii="Arial" w:hAnsi="Arial" w:cs="Arial"/>
          <w:b/>
          <w:bCs/>
          <w:sz w:val="18"/>
          <w:szCs w:val="18"/>
          <w:lang w:val="es-ES"/>
        </w:rPr>
        <w:t>de sus contrapartes</w:t>
      </w:r>
      <w:r w:rsidRPr="00DD1F97">
        <w:rPr>
          <w:rFonts w:ascii="Arial" w:hAnsi="Arial" w:cs="Arial"/>
          <w:b/>
          <w:bCs/>
          <w:sz w:val="18"/>
          <w:szCs w:val="18"/>
          <w:lang w:val="es-ES"/>
        </w:rPr>
        <w:t xml:space="preserve">. </w:t>
      </w:r>
    </w:p>
    <w:p w14:paraId="090A6D65" w14:textId="77777777" w:rsidR="003B7E86" w:rsidRPr="00DD1F97" w:rsidRDefault="003B7E86" w:rsidP="00011F18">
      <w:pPr>
        <w:pStyle w:val="Prrafodelista"/>
        <w:pBdr>
          <w:left w:val="single" w:sz="4" w:space="4" w:color="auto"/>
        </w:pBdr>
        <w:ind w:left="0"/>
        <w:jc w:val="both"/>
        <w:rPr>
          <w:rFonts w:ascii="Arial" w:hAnsi="Arial" w:cs="Arial"/>
          <w:b/>
          <w:bCs/>
          <w:sz w:val="18"/>
          <w:szCs w:val="18"/>
          <w:lang w:val="es-ES"/>
        </w:rPr>
      </w:pPr>
    </w:p>
    <w:p w14:paraId="31FB1968" w14:textId="54CF7C0A" w:rsidR="003B7E86" w:rsidRPr="00DD1F97" w:rsidRDefault="00477A7A" w:rsidP="00011F18">
      <w:pPr>
        <w:pStyle w:val="Prrafodelista"/>
        <w:numPr>
          <w:ilvl w:val="0"/>
          <w:numId w:val="31"/>
        </w:numPr>
        <w:pBdr>
          <w:left w:val="single" w:sz="4" w:space="4" w:color="auto"/>
        </w:pBdr>
        <w:ind w:left="284" w:hanging="284"/>
        <w:jc w:val="both"/>
        <w:rPr>
          <w:rFonts w:ascii="Arial" w:hAnsi="Arial" w:cs="Arial"/>
          <w:b/>
          <w:bCs/>
          <w:sz w:val="18"/>
          <w:szCs w:val="18"/>
          <w:lang w:val="es-ES"/>
        </w:rPr>
      </w:pPr>
      <w:r w:rsidRPr="00DD1F97">
        <w:rPr>
          <w:rFonts w:ascii="Arial" w:hAnsi="Arial" w:cs="Arial"/>
          <w:b/>
          <w:bCs/>
          <w:sz w:val="18"/>
          <w:szCs w:val="18"/>
          <w:lang w:val="es-ES"/>
        </w:rPr>
        <w:t xml:space="preserve">Monitorear </w:t>
      </w:r>
      <w:r w:rsidR="00CB12C7" w:rsidRPr="00DD1F97">
        <w:rPr>
          <w:rFonts w:ascii="Arial" w:hAnsi="Arial" w:cs="Arial"/>
          <w:b/>
          <w:bCs/>
          <w:sz w:val="18"/>
          <w:szCs w:val="18"/>
          <w:lang w:val="es-ES"/>
        </w:rPr>
        <w:t xml:space="preserve">de manera permanente </w:t>
      </w:r>
      <w:r w:rsidR="00FA6469" w:rsidRPr="00DD1F97">
        <w:rPr>
          <w:rFonts w:ascii="Arial" w:hAnsi="Arial" w:cs="Arial"/>
          <w:b/>
          <w:bCs/>
          <w:sz w:val="18"/>
          <w:szCs w:val="18"/>
          <w:lang w:val="es-ES"/>
        </w:rPr>
        <w:t>la calidad de los activos entregados en garantía en opera</w:t>
      </w:r>
      <w:r w:rsidR="00CB12C7" w:rsidRPr="00DD1F97">
        <w:rPr>
          <w:rFonts w:ascii="Arial" w:hAnsi="Arial" w:cs="Arial"/>
          <w:b/>
          <w:bCs/>
          <w:sz w:val="18"/>
          <w:szCs w:val="18"/>
          <w:lang w:val="es-ES"/>
        </w:rPr>
        <w:t xml:space="preserve">ciones expuestas a RiC. </w:t>
      </w:r>
    </w:p>
    <w:p w14:paraId="40FB903A" w14:textId="77777777" w:rsidR="00942F6E" w:rsidRPr="00942F6E" w:rsidRDefault="00942F6E" w:rsidP="00011F18">
      <w:pPr>
        <w:pStyle w:val="Prrafodelista"/>
        <w:pBdr>
          <w:left w:val="single" w:sz="4" w:space="4" w:color="auto"/>
        </w:pBdr>
        <w:ind w:left="0"/>
        <w:rPr>
          <w:rFonts w:ascii="Arial" w:hAnsi="Arial" w:cs="Arial"/>
          <w:b/>
          <w:bCs/>
          <w:sz w:val="18"/>
          <w:szCs w:val="18"/>
          <w:lang w:val="es-ES"/>
        </w:rPr>
      </w:pPr>
    </w:p>
    <w:p w14:paraId="05D96FA5" w14:textId="77777777" w:rsidR="00942F6E" w:rsidRPr="00160940" w:rsidRDefault="00942F6E" w:rsidP="00011F18">
      <w:pPr>
        <w:pStyle w:val="Prrafodelista"/>
        <w:numPr>
          <w:ilvl w:val="2"/>
          <w:numId w:val="1"/>
        </w:numPr>
        <w:pBdr>
          <w:left w:val="single" w:sz="4" w:space="4" w:color="auto"/>
        </w:pBdr>
        <w:jc w:val="both"/>
        <w:rPr>
          <w:rFonts w:ascii="Arial" w:hAnsi="Arial" w:cs="Arial"/>
          <w:b/>
          <w:bCs/>
          <w:sz w:val="18"/>
          <w:szCs w:val="18"/>
          <w:lang w:val="es-ES"/>
        </w:rPr>
      </w:pPr>
      <w:r w:rsidRPr="00160940">
        <w:rPr>
          <w:rFonts w:ascii="Arial" w:hAnsi="Arial" w:cs="Arial"/>
          <w:b/>
          <w:bCs/>
          <w:sz w:val="18"/>
          <w:szCs w:val="18"/>
          <w:lang w:val="es-ES"/>
        </w:rPr>
        <w:t>Límites y cupos</w:t>
      </w:r>
    </w:p>
    <w:p w14:paraId="019CB209" w14:textId="1C6AA5C9" w:rsidR="00942F6E" w:rsidRPr="00160940" w:rsidRDefault="00942F6E" w:rsidP="00011F18">
      <w:pPr>
        <w:pBdr>
          <w:left w:val="single" w:sz="4" w:space="4" w:color="auto"/>
        </w:pBdr>
        <w:jc w:val="both"/>
        <w:rPr>
          <w:rFonts w:ascii="Arial" w:hAnsi="Arial" w:cs="Arial"/>
          <w:b/>
          <w:bCs/>
          <w:sz w:val="18"/>
          <w:szCs w:val="18"/>
          <w:lang w:val="es-ES"/>
        </w:rPr>
      </w:pPr>
      <w:r w:rsidRPr="00160940">
        <w:rPr>
          <w:rFonts w:ascii="Arial" w:hAnsi="Arial" w:cs="Arial"/>
          <w:b/>
          <w:bCs/>
          <w:sz w:val="18"/>
          <w:szCs w:val="18"/>
          <w:lang w:val="es-ES"/>
        </w:rPr>
        <w:t>Las entidades que realicen operaciones expuestas a RiC por cuenta propia</w:t>
      </w:r>
      <w:r>
        <w:rPr>
          <w:rFonts w:ascii="Arial" w:hAnsi="Arial" w:cs="Arial"/>
          <w:b/>
          <w:bCs/>
          <w:sz w:val="18"/>
          <w:szCs w:val="18"/>
          <w:lang w:val="es-ES"/>
        </w:rPr>
        <w:t xml:space="preserve"> o</w:t>
      </w:r>
      <w:r w:rsidRPr="00160940">
        <w:rPr>
          <w:rFonts w:ascii="Arial" w:hAnsi="Arial" w:cs="Arial"/>
          <w:b/>
          <w:bCs/>
          <w:sz w:val="18"/>
          <w:szCs w:val="18"/>
          <w:lang w:val="es-ES"/>
        </w:rPr>
        <w:t xml:space="preserve"> por cuenta de </w:t>
      </w:r>
      <w:r>
        <w:rPr>
          <w:rFonts w:ascii="Arial" w:hAnsi="Arial" w:cs="Arial"/>
          <w:b/>
          <w:bCs/>
          <w:sz w:val="18"/>
          <w:szCs w:val="18"/>
          <w:lang w:val="es-ES"/>
        </w:rPr>
        <w:t>terceros, incluyendo los</w:t>
      </w:r>
      <w:r w:rsidRPr="00160940">
        <w:rPr>
          <w:rFonts w:ascii="Arial" w:hAnsi="Arial" w:cs="Arial"/>
          <w:b/>
          <w:bCs/>
          <w:sz w:val="18"/>
          <w:szCs w:val="18"/>
          <w:lang w:val="es-ES"/>
        </w:rPr>
        <w:t xml:space="preserve"> </w:t>
      </w:r>
      <w:r w:rsidRPr="00160940">
        <w:rPr>
          <w:rFonts w:ascii="Arial" w:hAnsi="Arial" w:cs="Arial"/>
          <w:b/>
          <w:bCs/>
          <w:sz w:val="18"/>
          <w:szCs w:val="18"/>
        </w:rPr>
        <w:t>vehículos de inversión administrados,</w:t>
      </w:r>
      <w:r w:rsidRPr="00160940">
        <w:rPr>
          <w:rFonts w:ascii="Arial" w:hAnsi="Arial" w:cs="Arial"/>
          <w:b/>
          <w:bCs/>
          <w:sz w:val="18"/>
          <w:szCs w:val="18"/>
          <w:lang w:val="es-ES"/>
        </w:rPr>
        <w:t xml:space="preserve"> deben establecer internamente límites y cupos máximos de exposición al RiC, según el tipo de</w:t>
      </w:r>
      <w:r>
        <w:rPr>
          <w:rFonts w:ascii="Arial" w:hAnsi="Arial" w:cs="Arial"/>
          <w:b/>
          <w:bCs/>
          <w:sz w:val="18"/>
          <w:szCs w:val="18"/>
          <w:lang w:val="es-ES"/>
        </w:rPr>
        <w:t xml:space="preserve"> tercero</w:t>
      </w:r>
      <w:r w:rsidRPr="00160940">
        <w:rPr>
          <w:rFonts w:ascii="Arial" w:hAnsi="Arial" w:cs="Arial"/>
          <w:b/>
          <w:bCs/>
          <w:sz w:val="18"/>
          <w:szCs w:val="18"/>
          <w:lang w:val="es-ES"/>
        </w:rPr>
        <w:t>, contraparte, y operación expuesta al RiC. Sin</w:t>
      </w:r>
      <w:r>
        <w:rPr>
          <w:rFonts w:ascii="Arial" w:hAnsi="Arial" w:cs="Arial"/>
          <w:b/>
          <w:bCs/>
          <w:sz w:val="18"/>
          <w:szCs w:val="18"/>
          <w:lang w:val="es-ES"/>
        </w:rPr>
        <w:t xml:space="preserve"> </w:t>
      </w:r>
      <w:r w:rsidRPr="00160940">
        <w:rPr>
          <w:rFonts w:ascii="Arial" w:hAnsi="Arial" w:cs="Arial"/>
          <w:b/>
          <w:bCs/>
          <w:sz w:val="18"/>
          <w:szCs w:val="18"/>
          <w:lang w:val="es-ES"/>
        </w:rPr>
        <w:t>perjuicio de los límites establecidos en la normatividad aplicable</w:t>
      </w:r>
      <w:r w:rsidR="00F65D4F">
        <w:rPr>
          <w:rFonts w:ascii="Arial" w:hAnsi="Arial" w:cs="Arial"/>
          <w:b/>
          <w:bCs/>
          <w:sz w:val="18"/>
          <w:szCs w:val="18"/>
          <w:lang w:val="es-ES"/>
        </w:rPr>
        <w:t>,</w:t>
      </w:r>
      <w:r w:rsidRPr="00160940">
        <w:rPr>
          <w:rFonts w:ascii="Arial" w:hAnsi="Arial" w:cs="Arial"/>
          <w:b/>
          <w:bCs/>
          <w:sz w:val="18"/>
          <w:szCs w:val="18"/>
          <w:lang w:val="es-ES"/>
        </w:rPr>
        <w:t xml:space="preserve"> </w:t>
      </w:r>
      <w:r>
        <w:rPr>
          <w:rFonts w:ascii="Arial" w:hAnsi="Arial" w:cs="Arial"/>
          <w:b/>
          <w:bCs/>
          <w:sz w:val="18"/>
          <w:szCs w:val="18"/>
          <w:lang w:val="es-ES"/>
        </w:rPr>
        <w:t>los</w:t>
      </w:r>
      <w:r w:rsidRPr="00160940">
        <w:rPr>
          <w:rFonts w:ascii="Arial" w:hAnsi="Arial" w:cs="Arial"/>
          <w:b/>
          <w:bCs/>
          <w:sz w:val="18"/>
          <w:szCs w:val="18"/>
          <w:lang w:val="es-ES"/>
        </w:rPr>
        <w:t xml:space="preserve"> límites y cupos </w:t>
      </w:r>
      <w:r>
        <w:rPr>
          <w:rFonts w:ascii="Arial" w:hAnsi="Arial" w:cs="Arial"/>
          <w:b/>
          <w:bCs/>
          <w:sz w:val="18"/>
          <w:szCs w:val="18"/>
          <w:lang w:val="es-ES"/>
        </w:rPr>
        <w:t xml:space="preserve">establecidos por las entidades </w:t>
      </w:r>
      <w:r w:rsidRPr="00160940">
        <w:rPr>
          <w:rFonts w:ascii="Arial" w:hAnsi="Arial" w:cs="Arial"/>
          <w:b/>
          <w:bCs/>
          <w:sz w:val="18"/>
          <w:szCs w:val="18"/>
          <w:lang w:val="es-ES"/>
        </w:rPr>
        <w:t xml:space="preserve">serán aplicables tanto a las operaciones por cuenta propia como por cuenta de terceros, a nivel individual y consolidado. </w:t>
      </w:r>
    </w:p>
    <w:p w14:paraId="7366B35F" w14:textId="7F8B6115" w:rsidR="00942F6E" w:rsidRDefault="00F65D4F" w:rsidP="00011F18">
      <w:pPr>
        <w:pBdr>
          <w:left w:val="single" w:sz="4" w:space="4" w:color="auto"/>
        </w:pBdr>
        <w:jc w:val="both"/>
        <w:rPr>
          <w:rFonts w:ascii="Arial" w:hAnsi="Arial" w:cs="Arial"/>
          <w:b/>
          <w:bCs/>
          <w:sz w:val="18"/>
          <w:szCs w:val="18"/>
          <w:lang w:val="es-ES"/>
        </w:rPr>
      </w:pPr>
      <w:r>
        <w:rPr>
          <w:rFonts w:ascii="Arial" w:hAnsi="Arial" w:cs="Arial"/>
          <w:b/>
          <w:bCs/>
          <w:sz w:val="18"/>
          <w:szCs w:val="18"/>
          <w:lang w:val="es-ES"/>
        </w:rPr>
        <w:t>L</w:t>
      </w:r>
      <w:r w:rsidR="00942F6E" w:rsidRPr="26E3A651">
        <w:rPr>
          <w:rFonts w:ascii="Arial" w:hAnsi="Arial" w:cs="Arial"/>
          <w:b/>
          <w:bCs/>
          <w:sz w:val="18"/>
          <w:szCs w:val="18"/>
          <w:lang w:val="es-ES"/>
        </w:rPr>
        <w:t xml:space="preserve">os cupos o límites deben incorporar criterios tales como: montos máximos de exposición por tipo de operación, por tipo de activo, valor o especie, por mercado, y cupo o límite total por contraparte, tercero o grupo conectado de contrapartes o terceros que tengan el carácter de vinculados, entre otros. </w:t>
      </w:r>
    </w:p>
    <w:p w14:paraId="1D74075E" w14:textId="77777777" w:rsidR="00773296" w:rsidRDefault="00942F6E" w:rsidP="00011F18">
      <w:pPr>
        <w:pBdr>
          <w:left w:val="single" w:sz="4" w:space="4" w:color="auto"/>
        </w:pBdr>
        <w:jc w:val="both"/>
        <w:rPr>
          <w:rFonts w:ascii="Arial" w:hAnsi="Arial" w:cs="Arial"/>
          <w:b/>
          <w:bCs/>
          <w:sz w:val="18"/>
          <w:szCs w:val="18"/>
        </w:rPr>
        <w:sectPr w:rsidR="00773296" w:rsidSect="00034E87">
          <w:headerReference w:type="default" r:id="rId17"/>
          <w:pgSz w:w="12240" w:h="18720" w:code="148"/>
          <w:pgMar w:top="1417" w:right="1701" w:bottom="1417" w:left="1701" w:header="708" w:footer="708" w:gutter="0"/>
          <w:cols w:space="708"/>
          <w:docGrid w:linePitch="360"/>
        </w:sectPr>
      </w:pPr>
      <w:r w:rsidRPr="26E3A651">
        <w:rPr>
          <w:rFonts w:ascii="Arial" w:hAnsi="Arial" w:cs="Arial"/>
          <w:b/>
          <w:bCs/>
          <w:sz w:val="18"/>
          <w:szCs w:val="18"/>
        </w:rPr>
        <w:t>Para efectos de establecer la calidad de vinculados entre terceros o contrapartes, se deben aplicar los criterios establecidos en el literal b) del numeral 2 del artículo 7.3.1.1.2 del Decreto 2555 de 2010, o aquellas disposiciones que lo modifiquen, adicionen o sustituyan, sin importar la industria en la que operen dichos terceros o contrapartes.</w:t>
      </w:r>
    </w:p>
    <w:p w14:paraId="54BB0DBA" w14:textId="2308ED5E" w:rsidR="00626508" w:rsidRDefault="00942F6E" w:rsidP="00011F18">
      <w:pPr>
        <w:pBdr>
          <w:left w:val="single" w:sz="4" w:space="1" w:color="auto"/>
        </w:pBdr>
        <w:jc w:val="both"/>
        <w:rPr>
          <w:rFonts w:ascii="Arial" w:hAnsi="Arial" w:cs="Arial"/>
          <w:b/>
          <w:bCs/>
          <w:sz w:val="18"/>
          <w:szCs w:val="18"/>
          <w:lang w:val="es-ES"/>
        </w:rPr>
      </w:pPr>
      <w:r w:rsidRPr="26E3A651">
        <w:rPr>
          <w:rFonts w:ascii="Arial" w:hAnsi="Arial" w:cs="Arial"/>
          <w:b/>
          <w:bCs/>
          <w:sz w:val="18"/>
          <w:szCs w:val="18"/>
          <w:lang w:val="es-ES"/>
        </w:rPr>
        <w:lastRenderedPageBreak/>
        <w:t xml:space="preserve">Las entidades deben establecer </w:t>
      </w:r>
      <w:r w:rsidR="001920F1">
        <w:rPr>
          <w:rFonts w:ascii="Arial" w:hAnsi="Arial" w:cs="Arial"/>
          <w:b/>
          <w:bCs/>
          <w:sz w:val="18"/>
          <w:szCs w:val="18"/>
          <w:lang w:val="es-ES"/>
        </w:rPr>
        <w:t xml:space="preserve">los </w:t>
      </w:r>
      <w:r w:rsidRPr="26E3A651">
        <w:rPr>
          <w:rFonts w:ascii="Arial" w:hAnsi="Arial" w:cs="Arial"/>
          <w:b/>
          <w:bCs/>
          <w:sz w:val="18"/>
          <w:szCs w:val="18"/>
          <w:lang w:val="es-ES"/>
        </w:rPr>
        <w:t>procedimientos</w:t>
      </w:r>
      <w:r w:rsidR="001920F1">
        <w:rPr>
          <w:rFonts w:ascii="Arial" w:hAnsi="Arial" w:cs="Arial"/>
          <w:b/>
          <w:bCs/>
          <w:sz w:val="18"/>
          <w:szCs w:val="18"/>
          <w:lang w:val="es-ES"/>
        </w:rPr>
        <w:t xml:space="preserve"> que se llevarán a cabo </w:t>
      </w:r>
      <w:r w:rsidR="00A05981">
        <w:rPr>
          <w:rFonts w:ascii="Arial" w:hAnsi="Arial" w:cs="Arial"/>
          <w:b/>
          <w:bCs/>
          <w:sz w:val="18"/>
          <w:szCs w:val="18"/>
          <w:lang w:val="es-ES"/>
        </w:rPr>
        <w:t>cuando se presente</w:t>
      </w:r>
      <w:r w:rsidR="003C61F2">
        <w:rPr>
          <w:rFonts w:ascii="Arial" w:hAnsi="Arial" w:cs="Arial"/>
          <w:b/>
          <w:bCs/>
          <w:sz w:val="18"/>
          <w:szCs w:val="18"/>
          <w:lang w:val="es-ES"/>
        </w:rPr>
        <w:t>n</w:t>
      </w:r>
      <w:r w:rsidR="00A05981">
        <w:rPr>
          <w:rFonts w:ascii="Arial" w:hAnsi="Arial" w:cs="Arial"/>
          <w:b/>
          <w:bCs/>
          <w:sz w:val="18"/>
          <w:szCs w:val="18"/>
          <w:lang w:val="es-ES"/>
        </w:rPr>
        <w:t xml:space="preserve"> excesos a los referidos límites</w:t>
      </w:r>
      <w:r>
        <w:rPr>
          <w:rFonts w:ascii="Arial" w:hAnsi="Arial" w:cs="Arial"/>
          <w:b/>
          <w:bCs/>
          <w:sz w:val="18"/>
          <w:szCs w:val="18"/>
          <w:lang w:val="es-ES"/>
        </w:rPr>
        <w:t>.</w:t>
      </w:r>
      <w:r w:rsidR="000D2ADC">
        <w:rPr>
          <w:rFonts w:ascii="Arial" w:hAnsi="Arial" w:cs="Arial"/>
          <w:b/>
          <w:bCs/>
          <w:sz w:val="18"/>
          <w:szCs w:val="18"/>
          <w:lang w:val="es-ES"/>
        </w:rPr>
        <w:t xml:space="preserve"> </w:t>
      </w:r>
    </w:p>
    <w:p w14:paraId="725DA069" w14:textId="2AA69BFD" w:rsidR="00A24CC2" w:rsidRDefault="00DB3006" w:rsidP="00011F18">
      <w:pPr>
        <w:pBdr>
          <w:left w:val="single" w:sz="4" w:space="1" w:color="auto"/>
        </w:pBdr>
        <w:jc w:val="both"/>
        <w:rPr>
          <w:rFonts w:ascii="Arial" w:hAnsi="Arial" w:cs="Arial"/>
          <w:b/>
          <w:bCs/>
          <w:sz w:val="18"/>
          <w:szCs w:val="18"/>
          <w:lang w:val="es-ES"/>
        </w:rPr>
      </w:pPr>
      <w:r w:rsidRPr="26E3A651">
        <w:rPr>
          <w:rFonts w:ascii="Arial" w:hAnsi="Arial" w:cs="Arial"/>
          <w:b/>
          <w:bCs/>
          <w:sz w:val="18"/>
          <w:szCs w:val="18"/>
          <w:lang w:val="es-ES"/>
        </w:rPr>
        <w:t>Los límites no sólo deben definir las c</w:t>
      </w:r>
      <w:r>
        <w:rPr>
          <w:rFonts w:ascii="Arial" w:hAnsi="Arial" w:cs="Arial"/>
          <w:b/>
          <w:bCs/>
          <w:sz w:val="18"/>
          <w:szCs w:val="18"/>
          <w:lang w:val="es-ES"/>
        </w:rPr>
        <w:t>ondiciones</w:t>
      </w:r>
      <w:r w:rsidRPr="26E3A651">
        <w:rPr>
          <w:rFonts w:ascii="Arial" w:hAnsi="Arial" w:cs="Arial"/>
          <w:b/>
          <w:bCs/>
          <w:sz w:val="18"/>
          <w:szCs w:val="18"/>
          <w:lang w:val="es-ES"/>
        </w:rPr>
        <w:t xml:space="preserve"> en las que deben prohibirse las transacciones con un tercero o contraparte, sino también aquellas en las que deben realizarse llamados al margen o en las </w:t>
      </w:r>
      <w:r w:rsidR="00C32727" w:rsidRPr="26E3A651">
        <w:rPr>
          <w:rFonts w:ascii="Arial" w:hAnsi="Arial" w:cs="Arial"/>
          <w:b/>
          <w:bCs/>
          <w:sz w:val="18"/>
          <w:szCs w:val="18"/>
          <w:lang w:val="es-ES"/>
        </w:rPr>
        <w:t>que las posiciones abiertas deban ajustarse cuando un límite es</w:t>
      </w:r>
      <w:r w:rsidR="00871C1E">
        <w:rPr>
          <w:rFonts w:ascii="Arial" w:hAnsi="Arial" w:cs="Arial"/>
          <w:b/>
          <w:bCs/>
          <w:sz w:val="18"/>
          <w:szCs w:val="18"/>
          <w:lang w:val="es-ES"/>
        </w:rPr>
        <w:t xml:space="preserve"> </w:t>
      </w:r>
      <w:r w:rsidR="00C32727" w:rsidRPr="26E3A651">
        <w:rPr>
          <w:rFonts w:ascii="Arial" w:hAnsi="Arial" w:cs="Arial"/>
          <w:b/>
          <w:bCs/>
          <w:sz w:val="18"/>
          <w:szCs w:val="18"/>
          <w:lang w:val="es-ES"/>
        </w:rPr>
        <w:t>o está cerca de ser excedido como consecuencia de los movimientos del mercado.</w:t>
      </w:r>
      <w:r w:rsidR="00F66A65">
        <w:rPr>
          <w:rFonts w:ascii="Arial" w:hAnsi="Arial" w:cs="Arial"/>
          <w:b/>
          <w:bCs/>
          <w:sz w:val="18"/>
          <w:szCs w:val="18"/>
          <w:lang w:val="es-ES"/>
        </w:rPr>
        <w:t xml:space="preserve"> </w:t>
      </w:r>
    </w:p>
    <w:p w14:paraId="5B012B3D" w14:textId="0484B698" w:rsidR="00C32727" w:rsidRPr="00160940" w:rsidRDefault="00C32727" w:rsidP="00011F18">
      <w:pPr>
        <w:pBdr>
          <w:left w:val="single" w:sz="4" w:space="1" w:color="auto"/>
        </w:pBdr>
        <w:jc w:val="both"/>
        <w:rPr>
          <w:rFonts w:ascii="Arial" w:hAnsi="Arial" w:cs="Arial"/>
          <w:b/>
          <w:bCs/>
          <w:sz w:val="18"/>
          <w:szCs w:val="18"/>
          <w:lang w:val="es-ES"/>
        </w:rPr>
      </w:pPr>
      <w:r w:rsidRPr="00160940">
        <w:rPr>
          <w:rFonts w:ascii="Arial" w:hAnsi="Arial" w:cs="Arial"/>
          <w:b/>
          <w:bCs/>
          <w:sz w:val="18"/>
          <w:szCs w:val="18"/>
          <w:lang w:val="es-ES"/>
        </w:rPr>
        <w:t>Para evaluar los límites y cupos, las entidades deben considerar los siguientes elementos:</w:t>
      </w:r>
    </w:p>
    <w:p w14:paraId="56E499B4" w14:textId="77777777" w:rsidR="00C32727" w:rsidRPr="00160940" w:rsidRDefault="00C32727" w:rsidP="00011F18">
      <w:pPr>
        <w:pStyle w:val="Prrafodelista"/>
        <w:numPr>
          <w:ilvl w:val="1"/>
          <w:numId w:val="24"/>
        </w:numPr>
        <w:pBdr>
          <w:left w:val="single" w:sz="4" w:space="1" w:color="auto"/>
        </w:pBdr>
        <w:ind w:left="284" w:hanging="284"/>
        <w:jc w:val="both"/>
        <w:rPr>
          <w:rFonts w:ascii="Arial" w:hAnsi="Arial" w:cs="Arial"/>
          <w:b/>
          <w:bCs/>
          <w:sz w:val="18"/>
          <w:szCs w:val="18"/>
          <w:lang w:val="es-ES"/>
        </w:rPr>
      </w:pPr>
      <w:r w:rsidRPr="00160940">
        <w:rPr>
          <w:rFonts w:ascii="Arial" w:hAnsi="Arial" w:cs="Arial"/>
          <w:b/>
          <w:bCs/>
          <w:sz w:val="18"/>
          <w:szCs w:val="18"/>
          <w:lang w:val="es-ES"/>
        </w:rPr>
        <w:t>Garantías</w:t>
      </w:r>
    </w:p>
    <w:p w14:paraId="6D371AF7" w14:textId="1163B856" w:rsidR="008A59CE" w:rsidRDefault="00C32727" w:rsidP="00011F18">
      <w:pPr>
        <w:pBdr>
          <w:left w:val="single" w:sz="4" w:space="1" w:color="auto"/>
        </w:pBdr>
        <w:jc w:val="both"/>
        <w:rPr>
          <w:rFonts w:ascii="Arial" w:hAnsi="Arial" w:cs="Arial"/>
          <w:b/>
          <w:bCs/>
          <w:sz w:val="18"/>
          <w:szCs w:val="18"/>
          <w:lang w:val="es-ES"/>
        </w:rPr>
      </w:pPr>
      <w:r w:rsidRPr="26E3A651">
        <w:rPr>
          <w:rFonts w:ascii="Arial" w:hAnsi="Arial" w:cs="Arial"/>
          <w:b/>
          <w:bCs/>
          <w:sz w:val="18"/>
          <w:szCs w:val="18"/>
          <w:lang w:val="es-ES"/>
        </w:rPr>
        <w:t>Las entidades que realicen operaciones expuestas a RiC por cuenta propia o por cuenta de terceros pueden pactar la constitución de garantías, para lo cual deben establecer las condiciones que deben cumplir dichas garantías atendiendo</w:t>
      </w:r>
      <w:r w:rsidR="009977EF">
        <w:rPr>
          <w:rFonts w:ascii="Arial" w:hAnsi="Arial" w:cs="Arial"/>
          <w:b/>
          <w:bCs/>
          <w:sz w:val="18"/>
          <w:szCs w:val="18"/>
          <w:lang w:val="es-ES"/>
        </w:rPr>
        <w:t xml:space="preserve"> </w:t>
      </w:r>
      <w:r w:rsidRPr="26E3A651">
        <w:rPr>
          <w:rFonts w:ascii="Arial" w:hAnsi="Arial" w:cs="Arial"/>
          <w:b/>
          <w:bCs/>
          <w:sz w:val="18"/>
          <w:szCs w:val="18"/>
          <w:lang w:val="es-ES"/>
        </w:rPr>
        <w:t xml:space="preserve">los lineamientos del Capítulo XVIII </w:t>
      </w:r>
      <w:r w:rsidRPr="26E3A651">
        <w:rPr>
          <w:rFonts w:ascii="Arial" w:hAnsi="Arial" w:cs="Arial"/>
          <w:b/>
          <w:bCs/>
          <w:sz w:val="18"/>
          <w:szCs w:val="18"/>
        </w:rPr>
        <w:t>«</w:t>
      </w:r>
      <w:r w:rsidRPr="26E3A651">
        <w:rPr>
          <w:rFonts w:ascii="Arial" w:hAnsi="Arial" w:cs="Arial"/>
          <w:b/>
          <w:bCs/>
          <w:i/>
          <w:iCs/>
          <w:sz w:val="18"/>
          <w:szCs w:val="18"/>
        </w:rPr>
        <w:t>Instrumentos financieros derivados y productos estructurados</w:t>
      </w:r>
      <w:r w:rsidRPr="26E3A651">
        <w:rPr>
          <w:rFonts w:ascii="Arial" w:hAnsi="Arial" w:cs="Arial"/>
          <w:b/>
          <w:bCs/>
          <w:sz w:val="18"/>
          <w:szCs w:val="18"/>
        </w:rPr>
        <w:t xml:space="preserve">» </w:t>
      </w:r>
      <w:r w:rsidRPr="26E3A651">
        <w:rPr>
          <w:rFonts w:ascii="Arial" w:hAnsi="Arial" w:cs="Arial"/>
          <w:b/>
          <w:bCs/>
          <w:sz w:val="18"/>
          <w:szCs w:val="18"/>
          <w:lang w:val="es-ES"/>
        </w:rPr>
        <w:t xml:space="preserve">cuando se trate de instrumentos financieros derivados y productos estructurados, y </w:t>
      </w:r>
      <w:r w:rsidR="009977EF">
        <w:rPr>
          <w:rFonts w:ascii="Arial" w:hAnsi="Arial" w:cs="Arial"/>
          <w:b/>
          <w:bCs/>
          <w:sz w:val="18"/>
          <w:szCs w:val="18"/>
          <w:lang w:val="es-ES"/>
        </w:rPr>
        <w:t xml:space="preserve">lo previsto </w:t>
      </w:r>
      <w:r w:rsidRPr="26E3A651">
        <w:rPr>
          <w:rFonts w:ascii="Arial" w:hAnsi="Arial" w:cs="Arial"/>
          <w:b/>
          <w:bCs/>
          <w:sz w:val="18"/>
          <w:szCs w:val="18"/>
          <w:lang w:val="es-ES"/>
        </w:rPr>
        <w:t>en el Libro 36 de la Parte 2 del Decreto 2555 de 2010 cuando se trate de repos, simultáneas o transferencia temporal de valores.</w:t>
      </w:r>
    </w:p>
    <w:p w14:paraId="44345FCB" w14:textId="77777777" w:rsidR="008A59CE" w:rsidRPr="00160940" w:rsidRDefault="008A59CE" w:rsidP="00011F18">
      <w:pPr>
        <w:pBdr>
          <w:left w:val="single" w:sz="4" w:space="1" w:color="auto"/>
        </w:pBdr>
        <w:jc w:val="both"/>
        <w:rPr>
          <w:rFonts w:ascii="Arial" w:hAnsi="Arial" w:cs="Arial"/>
          <w:b/>
          <w:bCs/>
          <w:sz w:val="18"/>
          <w:szCs w:val="18"/>
          <w:lang w:val="es-ES"/>
        </w:rPr>
      </w:pPr>
      <w:r w:rsidRPr="00160940">
        <w:rPr>
          <w:rFonts w:ascii="Arial" w:hAnsi="Arial" w:cs="Arial"/>
          <w:b/>
          <w:bCs/>
          <w:sz w:val="18"/>
          <w:szCs w:val="18"/>
          <w:lang w:val="es-ES"/>
        </w:rPr>
        <w:t xml:space="preserve">Lo anterior sin perjuicio de las garantías exigidas por los administradores de los sistemas de negociación y/o registro, bolsas de valores, bolsas de bienes y productos agropecuarios, agroindustriales o de otros </w:t>
      </w:r>
      <w:r w:rsidRPr="00160940">
        <w:rPr>
          <w:rFonts w:ascii="Arial" w:hAnsi="Arial" w:cs="Arial"/>
          <w:b/>
          <w:bCs/>
          <w:i/>
          <w:iCs/>
          <w:sz w:val="18"/>
          <w:szCs w:val="18"/>
          <w:lang w:val="es-ES"/>
        </w:rPr>
        <w:t>commodities</w:t>
      </w:r>
      <w:r w:rsidRPr="00160940">
        <w:rPr>
          <w:rFonts w:ascii="Arial" w:hAnsi="Arial" w:cs="Arial"/>
          <w:b/>
          <w:bCs/>
          <w:sz w:val="18"/>
          <w:szCs w:val="18"/>
          <w:lang w:val="es-ES"/>
        </w:rPr>
        <w:t xml:space="preserve">, sistemas de compensación y liquidación de operaciones y CRCC. </w:t>
      </w:r>
    </w:p>
    <w:p w14:paraId="284BB63B" w14:textId="77777777" w:rsidR="008A59CE" w:rsidRPr="00160940" w:rsidRDefault="008A59CE" w:rsidP="00011F18">
      <w:pPr>
        <w:pBdr>
          <w:left w:val="single" w:sz="4" w:space="1" w:color="auto"/>
        </w:pBdr>
        <w:jc w:val="both"/>
        <w:rPr>
          <w:rFonts w:ascii="Arial" w:hAnsi="Arial" w:cs="Arial"/>
          <w:b/>
          <w:bCs/>
          <w:sz w:val="18"/>
          <w:szCs w:val="18"/>
          <w:lang w:val="es-ES"/>
        </w:rPr>
      </w:pPr>
      <w:r w:rsidRPr="26E3A651">
        <w:rPr>
          <w:rFonts w:ascii="Arial" w:hAnsi="Arial" w:cs="Arial"/>
          <w:b/>
          <w:bCs/>
          <w:sz w:val="18"/>
          <w:szCs w:val="18"/>
          <w:lang w:val="es-ES"/>
        </w:rPr>
        <w:t>En todo caso, cuando las operaciones expuestas a RiC sean compensadas y liquidadas a través de una CRCC, el esquema de garantías definido por la entidad debe contemplar, al menos, lo exigido por dicha CRCC.</w:t>
      </w:r>
    </w:p>
    <w:p w14:paraId="7B9AB3D8" w14:textId="77777777" w:rsidR="008A59CE" w:rsidRPr="00160940" w:rsidRDefault="008A59CE" w:rsidP="00011F18">
      <w:pPr>
        <w:pStyle w:val="Prrafodelista"/>
        <w:numPr>
          <w:ilvl w:val="0"/>
          <w:numId w:val="24"/>
        </w:numPr>
        <w:pBdr>
          <w:left w:val="single" w:sz="4" w:space="1" w:color="auto"/>
        </w:pBdr>
        <w:ind w:left="284" w:hanging="284"/>
        <w:jc w:val="both"/>
        <w:rPr>
          <w:rFonts w:ascii="Arial" w:hAnsi="Arial" w:cs="Arial"/>
          <w:b/>
          <w:bCs/>
          <w:sz w:val="18"/>
          <w:szCs w:val="18"/>
          <w:lang w:val="es-ES"/>
        </w:rPr>
      </w:pPr>
      <w:r w:rsidRPr="00160940">
        <w:rPr>
          <w:rFonts w:ascii="Arial" w:hAnsi="Arial" w:cs="Arial"/>
          <w:b/>
          <w:bCs/>
          <w:sz w:val="18"/>
          <w:szCs w:val="18"/>
          <w:lang w:val="es-ES"/>
        </w:rPr>
        <w:t>Acuerdos de neteo</w:t>
      </w:r>
    </w:p>
    <w:p w14:paraId="22A77F83" w14:textId="6D396CEF" w:rsidR="00043E28" w:rsidRDefault="008A59CE" w:rsidP="00011F18">
      <w:pPr>
        <w:pBdr>
          <w:left w:val="single" w:sz="4" w:space="1" w:color="auto"/>
        </w:pBdr>
        <w:jc w:val="both"/>
        <w:rPr>
          <w:rFonts w:ascii="Arial" w:hAnsi="Arial" w:cs="Arial"/>
          <w:b/>
          <w:bCs/>
          <w:sz w:val="18"/>
          <w:szCs w:val="18"/>
          <w:lang w:val="es-ES"/>
        </w:rPr>
      </w:pPr>
      <w:r w:rsidRPr="00160940">
        <w:rPr>
          <w:rFonts w:ascii="Arial" w:hAnsi="Arial" w:cs="Arial"/>
          <w:b/>
          <w:bCs/>
          <w:sz w:val="18"/>
          <w:szCs w:val="18"/>
          <w:lang w:val="es-ES"/>
        </w:rPr>
        <w:t xml:space="preserve">Las entidades que realicen operaciones expuestas a RiC por cuenta propia o por cuenta de </w:t>
      </w:r>
      <w:r>
        <w:rPr>
          <w:rFonts w:ascii="Arial" w:hAnsi="Arial" w:cs="Arial"/>
          <w:b/>
          <w:bCs/>
          <w:sz w:val="18"/>
          <w:szCs w:val="18"/>
          <w:lang w:val="es-ES"/>
        </w:rPr>
        <w:t>terceros</w:t>
      </w:r>
      <w:r w:rsidRPr="00160940">
        <w:rPr>
          <w:rFonts w:ascii="Arial" w:hAnsi="Arial" w:cs="Arial"/>
          <w:b/>
          <w:bCs/>
          <w:sz w:val="18"/>
          <w:szCs w:val="18"/>
          <w:lang w:val="es-ES"/>
        </w:rPr>
        <w:t xml:space="preserve"> pueden celebrar acuerdos de neteo con sus contrapartes</w:t>
      </w:r>
      <w:r w:rsidR="007D694F">
        <w:rPr>
          <w:rFonts w:ascii="Arial" w:hAnsi="Arial" w:cs="Arial"/>
          <w:b/>
          <w:bCs/>
          <w:sz w:val="18"/>
          <w:szCs w:val="18"/>
          <w:lang w:val="es-ES"/>
        </w:rPr>
        <w:t xml:space="preserve">, </w:t>
      </w:r>
      <w:r w:rsidR="00575A27">
        <w:rPr>
          <w:rFonts w:ascii="Arial" w:hAnsi="Arial" w:cs="Arial"/>
          <w:b/>
          <w:bCs/>
          <w:sz w:val="18"/>
          <w:szCs w:val="18"/>
          <w:lang w:val="es-ES"/>
        </w:rPr>
        <w:t>en los cuales se</w:t>
      </w:r>
      <w:r w:rsidRPr="00160940">
        <w:rPr>
          <w:rFonts w:ascii="Arial" w:hAnsi="Arial" w:cs="Arial"/>
          <w:b/>
          <w:bCs/>
          <w:sz w:val="18"/>
          <w:szCs w:val="18"/>
          <w:lang w:val="es-ES"/>
        </w:rPr>
        <w:t xml:space="preserve"> establecer</w:t>
      </w:r>
      <w:r w:rsidR="00575A27">
        <w:rPr>
          <w:rFonts w:ascii="Arial" w:hAnsi="Arial" w:cs="Arial"/>
          <w:b/>
          <w:bCs/>
          <w:sz w:val="18"/>
          <w:szCs w:val="18"/>
          <w:lang w:val="es-ES"/>
        </w:rPr>
        <w:t>án</w:t>
      </w:r>
      <w:r w:rsidRPr="00160940">
        <w:rPr>
          <w:rFonts w:ascii="Arial" w:hAnsi="Arial" w:cs="Arial"/>
          <w:b/>
          <w:bCs/>
          <w:sz w:val="18"/>
          <w:szCs w:val="18"/>
          <w:lang w:val="es-ES"/>
        </w:rPr>
        <w:t xml:space="preserve"> las condiciones para hacer los neteos respectivos.</w:t>
      </w:r>
    </w:p>
    <w:p w14:paraId="39E7AE4B" w14:textId="77777777" w:rsidR="00043E28" w:rsidRDefault="00043E28" w:rsidP="00011F18">
      <w:pPr>
        <w:pBdr>
          <w:left w:val="single" w:sz="4" w:space="1" w:color="auto"/>
        </w:pBdr>
        <w:jc w:val="both"/>
        <w:rPr>
          <w:rFonts w:ascii="Arial" w:hAnsi="Arial" w:cs="Arial"/>
          <w:b/>
          <w:bCs/>
          <w:sz w:val="18"/>
          <w:szCs w:val="18"/>
          <w:lang w:val="es-ES"/>
        </w:rPr>
      </w:pPr>
      <w:r w:rsidRPr="26E3A651">
        <w:rPr>
          <w:rFonts w:ascii="Arial" w:hAnsi="Arial" w:cs="Arial"/>
          <w:b/>
          <w:bCs/>
          <w:sz w:val="18"/>
          <w:szCs w:val="18"/>
          <w:lang w:val="es-ES"/>
        </w:rPr>
        <w:t>En todo caso, cuando se trate de instrumentos financieros derivados y productos estructurados los acuerdos de neteo se rigen por lo establecido en la CBCF.</w:t>
      </w:r>
    </w:p>
    <w:p w14:paraId="59FC7EBE" w14:textId="49C65CD8" w:rsidR="006460D0" w:rsidRPr="006460D0" w:rsidRDefault="006460D0" w:rsidP="00011F18">
      <w:pPr>
        <w:pStyle w:val="Prrafodelista"/>
        <w:numPr>
          <w:ilvl w:val="2"/>
          <w:numId w:val="1"/>
        </w:numPr>
        <w:pBdr>
          <w:left w:val="single" w:sz="4" w:space="1" w:color="auto"/>
        </w:pBdr>
        <w:jc w:val="both"/>
        <w:rPr>
          <w:rFonts w:ascii="Arial" w:hAnsi="Arial" w:cs="Arial"/>
          <w:b/>
          <w:bCs/>
          <w:sz w:val="18"/>
          <w:szCs w:val="18"/>
          <w:lang w:val="es-ES"/>
        </w:rPr>
      </w:pPr>
      <w:r w:rsidRPr="006460D0">
        <w:rPr>
          <w:rFonts w:ascii="Arial" w:hAnsi="Arial" w:cs="Arial"/>
          <w:b/>
          <w:bCs/>
          <w:sz w:val="18"/>
          <w:szCs w:val="18"/>
          <w:lang w:val="es-ES"/>
        </w:rPr>
        <w:t>Novación, compensación y liquidación centralizada</w:t>
      </w:r>
    </w:p>
    <w:p w14:paraId="11059AF2" w14:textId="73A8C16B" w:rsidR="00E46EA7" w:rsidRPr="006460D0" w:rsidRDefault="000C2B88" w:rsidP="00011F18">
      <w:pPr>
        <w:pBdr>
          <w:left w:val="single" w:sz="4" w:space="1" w:color="auto"/>
        </w:pBdr>
        <w:jc w:val="both"/>
        <w:rPr>
          <w:rFonts w:ascii="Arial" w:hAnsi="Arial" w:cs="Arial"/>
          <w:b/>
          <w:bCs/>
          <w:sz w:val="18"/>
          <w:szCs w:val="18"/>
          <w:lang w:val="es-ES"/>
        </w:rPr>
      </w:pPr>
      <w:r>
        <w:rPr>
          <w:rFonts w:ascii="Arial" w:hAnsi="Arial" w:cs="Arial"/>
          <w:b/>
          <w:bCs/>
          <w:sz w:val="18"/>
          <w:szCs w:val="18"/>
          <w:lang w:val="es-ES"/>
        </w:rPr>
        <w:t>S</w:t>
      </w:r>
      <w:r w:rsidR="006460D0" w:rsidRPr="006460D0">
        <w:rPr>
          <w:rFonts w:ascii="Arial" w:hAnsi="Arial" w:cs="Arial"/>
          <w:b/>
          <w:bCs/>
          <w:sz w:val="18"/>
          <w:szCs w:val="18"/>
          <w:lang w:val="es-ES"/>
        </w:rPr>
        <w:t>in perjuicio de la compensación y liquidación obligatoria a través de una CRCC para las operaciones que la normatividad establezca, las entidades que realicen operaciones expuestas a RiC por cuenta propia o por cuenta de terceros, como buena práctica en materia de gestión de riesgos, podrán remitir las operaciones expuestas a RiC a una CRCC para ser novadas, compensadas y liquidadas.</w:t>
      </w:r>
    </w:p>
    <w:p w14:paraId="071374EE" w14:textId="74057926" w:rsidR="006E7CDB" w:rsidRPr="00FB5312" w:rsidRDefault="006E7CDB" w:rsidP="00011F18">
      <w:pPr>
        <w:pStyle w:val="Prrafodelista"/>
        <w:numPr>
          <w:ilvl w:val="2"/>
          <w:numId w:val="1"/>
        </w:numPr>
        <w:pBdr>
          <w:left w:val="single" w:sz="4" w:space="1" w:color="auto"/>
        </w:pBdr>
        <w:ind w:left="709" w:hanging="709"/>
        <w:jc w:val="both"/>
        <w:rPr>
          <w:rFonts w:ascii="Arial" w:hAnsi="Arial" w:cs="Arial"/>
          <w:b/>
          <w:bCs/>
          <w:sz w:val="18"/>
          <w:szCs w:val="18"/>
        </w:rPr>
      </w:pPr>
      <w:r w:rsidRPr="00FB5312">
        <w:rPr>
          <w:rFonts w:ascii="Arial" w:hAnsi="Arial" w:cs="Arial"/>
          <w:b/>
          <w:bCs/>
          <w:sz w:val="18"/>
          <w:szCs w:val="18"/>
        </w:rPr>
        <w:t>Procedimiento ante eventos de incumplimiento</w:t>
      </w:r>
    </w:p>
    <w:p w14:paraId="1079865C" w14:textId="4FA78BE7" w:rsidR="006E7CDB" w:rsidRPr="00160940" w:rsidRDefault="006E7CDB" w:rsidP="00011F18">
      <w:pPr>
        <w:pBdr>
          <w:left w:val="single" w:sz="4" w:space="1" w:color="auto"/>
        </w:pBdr>
        <w:jc w:val="both"/>
        <w:rPr>
          <w:rFonts w:ascii="Arial" w:hAnsi="Arial" w:cs="Arial"/>
          <w:b/>
          <w:bCs/>
          <w:sz w:val="18"/>
          <w:szCs w:val="18"/>
        </w:rPr>
      </w:pPr>
      <w:r w:rsidRPr="00160940">
        <w:rPr>
          <w:rFonts w:ascii="Arial" w:hAnsi="Arial" w:cs="Arial"/>
          <w:b/>
          <w:bCs/>
          <w:sz w:val="18"/>
          <w:szCs w:val="18"/>
          <w:lang w:val="es-ES"/>
        </w:rPr>
        <w:t xml:space="preserve">Las entidades que realicen operaciones expuestas a RiC por cuenta propia o por cuenta de </w:t>
      </w:r>
      <w:r>
        <w:rPr>
          <w:rFonts w:ascii="Arial" w:hAnsi="Arial" w:cs="Arial"/>
          <w:b/>
          <w:bCs/>
          <w:sz w:val="18"/>
          <w:szCs w:val="18"/>
          <w:lang w:val="es-ES"/>
        </w:rPr>
        <w:t>terceros</w:t>
      </w:r>
      <w:r w:rsidRPr="00160940">
        <w:rPr>
          <w:rFonts w:ascii="Arial" w:hAnsi="Arial" w:cs="Arial"/>
          <w:b/>
          <w:bCs/>
          <w:sz w:val="18"/>
          <w:szCs w:val="18"/>
          <w:lang w:val="es-ES"/>
        </w:rPr>
        <w:t xml:space="preserve"> </w:t>
      </w:r>
      <w:r w:rsidRPr="00160940">
        <w:rPr>
          <w:rFonts w:ascii="Arial" w:hAnsi="Arial" w:cs="Arial"/>
          <w:b/>
          <w:bCs/>
          <w:sz w:val="18"/>
          <w:szCs w:val="18"/>
        </w:rPr>
        <w:t>deben establecer políticas</w:t>
      </w:r>
      <w:r>
        <w:rPr>
          <w:rFonts w:ascii="Arial" w:hAnsi="Arial" w:cs="Arial"/>
          <w:b/>
          <w:bCs/>
          <w:sz w:val="18"/>
          <w:szCs w:val="18"/>
        </w:rPr>
        <w:t xml:space="preserve"> </w:t>
      </w:r>
      <w:r w:rsidRPr="00160940">
        <w:rPr>
          <w:rFonts w:ascii="Arial" w:hAnsi="Arial" w:cs="Arial"/>
          <w:b/>
          <w:bCs/>
          <w:sz w:val="18"/>
          <w:szCs w:val="18"/>
        </w:rPr>
        <w:t>para</w:t>
      </w:r>
      <w:r>
        <w:rPr>
          <w:rFonts w:ascii="Arial" w:hAnsi="Arial" w:cs="Arial"/>
          <w:b/>
          <w:bCs/>
          <w:sz w:val="18"/>
          <w:szCs w:val="18"/>
        </w:rPr>
        <w:t xml:space="preserve"> </w:t>
      </w:r>
      <w:r w:rsidRPr="00160940">
        <w:rPr>
          <w:rFonts w:ascii="Arial" w:hAnsi="Arial" w:cs="Arial"/>
          <w:b/>
          <w:bCs/>
          <w:sz w:val="18"/>
          <w:szCs w:val="18"/>
        </w:rPr>
        <w:t>gestionar</w:t>
      </w:r>
      <w:r>
        <w:rPr>
          <w:rFonts w:ascii="Arial" w:hAnsi="Arial" w:cs="Arial"/>
          <w:b/>
          <w:bCs/>
          <w:sz w:val="18"/>
          <w:szCs w:val="18"/>
        </w:rPr>
        <w:t xml:space="preserve"> </w:t>
      </w:r>
      <w:r w:rsidRPr="00160940">
        <w:rPr>
          <w:rFonts w:ascii="Arial" w:hAnsi="Arial" w:cs="Arial"/>
          <w:b/>
          <w:bCs/>
          <w:sz w:val="18"/>
          <w:szCs w:val="18"/>
        </w:rPr>
        <w:t>los posibles incumplimientos, así como</w:t>
      </w:r>
      <w:r>
        <w:rPr>
          <w:rFonts w:ascii="Arial" w:hAnsi="Arial" w:cs="Arial"/>
          <w:b/>
          <w:bCs/>
          <w:sz w:val="18"/>
          <w:szCs w:val="18"/>
        </w:rPr>
        <w:t xml:space="preserve"> </w:t>
      </w:r>
      <w:r w:rsidRPr="00160940">
        <w:rPr>
          <w:rFonts w:ascii="Arial" w:hAnsi="Arial" w:cs="Arial"/>
          <w:b/>
          <w:bCs/>
          <w:sz w:val="18"/>
          <w:szCs w:val="18"/>
        </w:rPr>
        <w:t>para</w:t>
      </w:r>
      <w:r>
        <w:rPr>
          <w:rFonts w:ascii="Arial" w:hAnsi="Arial" w:cs="Arial"/>
          <w:b/>
          <w:bCs/>
          <w:sz w:val="18"/>
          <w:szCs w:val="18"/>
        </w:rPr>
        <w:t xml:space="preserve"> </w:t>
      </w:r>
      <w:r w:rsidRPr="00160940">
        <w:rPr>
          <w:rFonts w:ascii="Arial" w:hAnsi="Arial" w:cs="Arial"/>
          <w:b/>
          <w:bCs/>
          <w:sz w:val="18"/>
          <w:szCs w:val="18"/>
        </w:rPr>
        <w:t>recuperar</w:t>
      </w:r>
      <w:r>
        <w:rPr>
          <w:rFonts w:ascii="Arial" w:hAnsi="Arial" w:cs="Arial"/>
          <w:b/>
          <w:bCs/>
          <w:sz w:val="18"/>
          <w:szCs w:val="18"/>
        </w:rPr>
        <w:t xml:space="preserve"> </w:t>
      </w:r>
      <w:r w:rsidRPr="26E3A651">
        <w:rPr>
          <w:rFonts w:ascii="Arial" w:hAnsi="Arial" w:cs="Arial"/>
          <w:b/>
          <w:bCs/>
          <w:sz w:val="18"/>
          <w:szCs w:val="18"/>
        </w:rPr>
        <w:t xml:space="preserve">cualquier costo, gasto o cuentas por cobrar que se ocasionen para </w:t>
      </w:r>
      <w:r>
        <w:rPr>
          <w:rFonts w:ascii="Arial" w:hAnsi="Arial" w:cs="Arial"/>
          <w:b/>
          <w:bCs/>
          <w:sz w:val="18"/>
          <w:szCs w:val="18"/>
        </w:rPr>
        <w:t>cumplir las</w:t>
      </w:r>
      <w:r w:rsidRPr="26E3A651">
        <w:rPr>
          <w:rFonts w:ascii="Arial" w:hAnsi="Arial" w:cs="Arial"/>
          <w:b/>
          <w:bCs/>
          <w:sz w:val="18"/>
          <w:szCs w:val="18"/>
        </w:rPr>
        <w:t xml:space="preserve"> operaciones por cuenta de terceros incumplidos. Para estos efectos, las entidades deben contar con los recursos humanos, financieros y legales necesarios, y definir planes </w:t>
      </w:r>
      <w:r>
        <w:rPr>
          <w:rFonts w:ascii="Arial" w:hAnsi="Arial" w:cs="Arial"/>
          <w:b/>
          <w:bCs/>
          <w:sz w:val="18"/>
          <w:szCs w:val="18"/>
        </w:rPr>
        <w:t>para mitigar los efectos de</w:t>
      </w:r>
      <w:r w:rsidRPr="26E3A651">
        <w:rPr>
          <w:rFonts w:ascii="Arial" w:hAnsi="Arial" w:cs="Arial"/>
          <w:b/>
          <w:bCs/>
          <w:sz w:val="18"/>
          <w:szCs w:val="18"/>
        </w:rPr>
        <w:t xml:space="preserve"> la materialización de un evento de incumplimiento.</w:t>
      </w:r>
    </w:p>
    <w:p w14:paraId="21243E3B" w14:textId="77777777" w:rsidR="006E7CDB" w:rsidRDefault="006E7CDB" w:rsidP="00011F18">
      <w:pPr>
        <w:pBdr>
          <w:left w:val="single" w:sz="4" w:space="1" w:color="auto"/>
        </w:pBdr>
        <w:jc w:val="both"/>
        <w:rPr>
          <w:rFonts w:ascii="Arial" w:hAnsi="Arial" w:cs="Arial"/>
          <w:b/>
          <w:bCs/>
          <w:sz w:val="18"/>
          <w:szCs w:val="18"/>
        </w:rPr>
      </w:pPr>
      <w:r w:rsidRPr="26E3A651">
        <w:rPr>
          <w:rFonts w:ascii="Arial" w:hAnsi="Arial" w:cs="Arial"/>
          <w:b/>
          <w:bCs/>
          <w:sz w:val="18"/>
          <w:szCs w:val="18"/>
        </w:rPr>
        <w:t xml:space="preserve">En el caso de las operaciones compensadas y liquidadas por una CRCC, los incumplimientos o retardos en el cumplimiento se rigen exclusivamente por las disposiciones contenidas en el reglamento y circulares de la respectiva entidad de contrapartida central. Los miembros de una CRCC deben contar con políticas y procedimientos para recuperar cualquier costo, gasto o cuentas por cobrar que se ocasionen para </w:t>
      </w:r>
      <w:r>
        <w:rPr>
          <w:rFonts w:ascii="Arial" w:hAnsi="Arial" w:cs="Arial"/>
          <w:b/>
          <w:bCs/>
          <w:sz w:val="18"/>
          <w:szCs w:val="18"/>
        </w:rPr>
        <w:t xml:space="preserve">cumplir </w:t>
      </w:r>
      <w:r w:rsidRPr="26E3A651">
        <w:rPr>
          <w:rFonts w:ascii="Arial" w:hAnsi="Arial" w:cs="Arial"/>
          <w:b/>
          <w:bCs/>
          <w:sz w:val="18"/>
          <w:szCs w:val="18"/>
        </w:rPr>
        <w:t>ante la CRCC operaciones por cuenta de terceros incumplidos.</w:t>
      </w:r>
    </w:p>
    <w:p w14:paraId="1ADD3D0D" w14:textId="4C771824" w:rsidR="0091500F" w:rsidRDefault="0091500F" w:rsidP="0040129B">
      <w:pPr>
        <w:jc w:val="both"/>
        <w:rPr>
          <w:rFonts w:ascii="Arial" w:hAnsi="Arial" w:cs="Arial"/>
          <w:b/>
          <w:bCs/>
          <w:sz w:val="18"/>
          <w:szCs w:val="18"/>
          <w:lang w:val="es-ES"/>
        </w:rPr>
        <w:sectPr w:rsidR="0091500F" w:rsidSect="006E7CDB">
          <w:headerReference w:type="default" r:id="rId18"/>
          <w:pgSz w:w="12240" w:h="18720" w:code="120"/>
          <w:pgMar w:top="1417" w:right="1701" w:bottom="1417" w:left="1701" w:header="708" w:footer="708" w:gutter="0"/>
          <w:cols w:space="708"/>
          <w:docGrid w:linePitch="360"/>
        </w:sectPr>
      </w:pPr>
    </w:p>
    <w:p w14:paraId="2963F415" w14:textId="77777777" w:rsidR="00245B09" w:rsidRPr="0071563F" w:rsidRDefault="00245B09" w:rsidP="0091500F">
      <w:pPr>
        <w:tabs>
          <w:tab w:val="left" w:pos="426"/>
        </w:tabs>
        <w:ind w:left="426" w:hanging="426"/>
        <w:jc w:val="center"/>
        <w:rPr>
          <w:rFonts w:ascii="Arial" w:hAnsi="Arial" w:cs="Arial"/>
          <w:b/>
          <w:sz w:val="18"/>
          <w:szCs w:val="18"/>
        </w:rPr>
      </w:pPr>
      <w:r w:rsidRPr="0071563F">
        <w:rPr>
          <w:rFonts w:ascii="Arial" w:hAnsi="Arial" w:cs="Arial"/>
          <w:b/>
          <w:sz w:val="18"/>
          <w:szCs w:val="18"/>
        </w:rPr>
        <w:lastRenderedPageBreak/>
        <w:t>PARTE III. MEDICIÓN Y/O REPORTE ESTÁNDAR DE LOS RIESGOS</w:t>
      </w:r>
    </w:p>
    <w:p w14:paraId="224813BB" w14:textId="77777777" w:rsidR="00245B09" w:rsidRPr="0071563F" w:rsidRDefault="00245B09" w:rsidP="0091500F">
      <w:pPr>
        <w:tabs>
          <w:tab w:val="left" w:pos="0"/>
        </w:tabs>
        <w:jc w:val="both"/>
        <w:rPr>
          <w:rFonts w:ascii="Arial" w:hAnsi="Arial" w:cs="Arial"/>
          <w:b/>
          <w:sz w:val="18"/>
          <w:szCs w:val="18"/>
        </w:rPr>
      </w:pPr>
    </w:p>
    <w:p w14:paraId="4229B04B" w14:textId="77777777" w:rsidR="00245B09" w:rsidRPr="0071563F" w:rsidRDefault="00245B09" w:rsidP="0091500F">
      <w:pPr>
        <w:pStyle w:val="Prrafodelista"/>
        <w:numPr>
          <w:ilvl w:val="6"/>
          <w:numId w:val="26"/>
        </w:numPr>
        <w:tabs>
          <w:tab w:val="left" w:pos="0"/>
        </w:tabs>
        <w:spacing w:after="0" w:line="240" w:lineRule="auto"/>
        <w:ind w:left="360"/>
        <w:contextualSpacing w:val="0"/>
        <w:jc w:val="both"/>
        <w:rPr>
          <w:rFonts w:ascii="Arial" w:hAnsi="Arial" w:cs="Arial"/>
          <w:b/>
          <w:sz w:val="18"/>
          <w:szCs w:val="18"/>
        </w:rPr>
      </w:pPr>
      <w:r w:rsidRPr="0071563F">
        <w:rPr>
          <w:rFonts w:ascii="Arial" w:hAnsi="Arial" w:cs="Arial"/>
          <w:b/>
          <w:sz w:val="18"/>
          <w:szCs w:val="18"/>
        </w:rPr>
        <w:t>INTRODUCCIÓN</w:t>
      </w:r>
    </w:p>
    <w:p w14:paraId="545D1266" w14:textId="5F8FF519" w:rsidR="00245B09" w:rsidRPr="0071563F" w:rsidRDefault="00AC471B" w:rsidP="0091500F">
      <w:pPr>
        <w:tabs>
          <w:tab w:val="left" w:pos="0"/>
          <w:tab w:val="left" w:pos="709"/>
        </w:tabs>
        <w:jc w:val="both"/>
        <w:rPr>
          <w:rFonts w:ascii="Arial" w:hAnsi="Arial" w:cs="Arial"/>
          <w:b/>
          <w:sz w:val="18"/>
          <w:szCs w:val="18"/>
        </w:rPr>
      </w:pPr>
      <w:r>
        <w:rPr>
          <w:rFonts w:ascii="Arial" w:hAnsi="Arial" w:cs="Arial"/>
          <w:b/>
          <w:noProof/>
          <w:sz w:val="18"/>
          <w:szCs w:val="18"/>
        </w:rPr>
        <mc:AlternateContent>
          <mc:Choice Requires="wps">
            <w:drawing>
              <wp:anchor distT="0" distB="0" distL="114300" distR="114300" simplePos="0" relativeHeight="251658240" behindDoc="0" locked="0" layoutInCell="1" allowOverlap="1" wp14:anchorId="30BABA5E" wp14:editId="5F33A45D">
                <wp:simplePos x="0" y="0"/>
                <wp:positionH relativeFrom="column">
                  <wp:posOffset>-84760</wp:posOffset>
                </wp:positionH>
                <wp:positionV relativeFrom="paragraph">
                  <wp:posOffset>241935</wp:posOffset>
                </wp:positionV>
                <wp:extent cx="0" cy="570585"/>
                <wp:effectExtent l="0" t="0" r="38100" b="20320"/>
                <wp:wrapNone/>
                <wp:docPr id="597818033" name="Conector recto 597818033"/>
                <wp:cNvGraphicFramePr/>
                <a:graphic xmlns:a="http://schemas.openxmlformats.org/drawingml/2006/main">
                  <a:graphicData uri="http://schemas.microsoft.com/office/word/2010/wordprocessingShape">
                    <wps:wsp>
                      <wps:cNvCnPr/>
                      <wps:spPr>
                        <a:xfrm>
                          <a:off x="0" y="0"/>
                          <a:ext cx="0" cy="570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364A24" id="Conector recto 59781803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6.65pt,19.05pt" to="-6.6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hTWrwEAANMDAAAOAAAAZHJzL2Uyb0RvYy54bWysU01v2zAMvQ/YfxB0X+QUyFYYcXpo0V2G&#10;rdjHD1BlKhYgiYKkxc6/HyUndrENGDbsQosU3yP5RO/vJmfZCWIy6Du+3TScgVfYG3/s+Levj29u&#10;OUtZ+l5a9NDxMyR+d3j9aj+GFm5wQNtDZETiUzuGjg85h1aIpAZwMm0wgKdLjdHJTG48ij7Kkdid&#10;FTdN81aMGPsQUUFKFH2YL/mh8msNKn/SOkFmtuPUW642VvtcrDjsZXuMMgxGXdqQ/9CFk8ZT0YXq&#10;QWbJvkfzC5UzKmJCnTcKnUCtjYI6A02zbX6a5ssgA9RZSJwUFpnS/6NVH0/3/imSDGNIbQpPsUwx&#10;6ejKl/pjUxXrvIgFU2ZqDiqK7t41u9td0VGsuBBTfg/oWDl03BpfxpCtPH1IeU69ppSw9cUmtKZ/&#10;NNZWpywA3NvITpKeLk/bS4kXWVSwIMXaeT3ls4WZ9TNoZnrqdVur16VaOaVS4POV13rKLjBNHSzA&#10;5s/AS36BQl24vwEviFoZfV7AzniMv6u+SqHn/KsC89xFgmfsz/VNqzS0OfVxLlteVvOlX+Hrv3j4&#10;AQAA//8DAFBLAwQUAAYACAAAACEAqVs2+N4AAAAKAQAADwAAAGRycy9kb3ducmV2LnhtbEyPwWqD&#10;QBCG74W+wzKBXkqyGmkQ6xqKkEsPhcYQety4E5W4s+Juonn7TumhPc7Mxz/fn29n24sbjr5zpCBe&#10;RSCQamc6ahQcqt0yBeGDJqN7R6jgjh62xeNDrjPjJvrE2z40gkPIZ1pBG8KQSenrFq32Kzcg8e3s&#10;RqsDj2MjzagnDre9XEfRRlrdEX9o9YBli/Vlf7UKvprnZHesqJrK8HHetPP9+P5SKvW0mN9eQQSc&#10;wx8MP/qsDgU7ndyVjBe9gmWcJIwqSNIYBAO/ixOT6zQCWeTyf4XiGwAA//8DAFBLAQItABQABgAI&#10;AAAAIQC2gziS/gAAAOEBAAATAAAAAAAAAAAAAAAAAAAAAABbQ29udGVudF9UeXBlc10ueG1sUEsB&#10;Ai0AFAAGAAgAAAAhADj9If/WAAAAlAEAAAsAAAAAAAAAAAAAAAAALwEAAF9yZWxzLy5yZWxzUEsB&#10;Ai0AFAAGAAgAAAAhAETmFNavAQAA0wMAAA4AAAAAAAAAAAAAAAAALgIAAGRycy9lMm9Eb2MueG1s&#10;UEsBAi0AFAAGAAgAAAAhAKlbNvjeAAAACgEAAA8AAAAAAAAAAAAAAAAACQQAAGRycy9kb3ducmV2&#10;LnhtbFBLBQYAAAAABAAEAPMAAAAUBQAAAAA=&#10;" strokecolor="black [3213]" strokeweight=".5pt">
                <v:stroke joinstyle="miter"/>
              </v:line>
            </w:pict>
          </mc:Fallback>
        </mc:AlternateContent>
      </w:r>
    </w:p>
    <w:p w14:paraId="040CD0A4" w14:textId="255366C9" w:rsidR="00245B09" w:rsidRPr="0071563F" w:rsidRDefault="00245B09" w:rsidP="0091500F">
      <w:pPr>
        <w:tabs>
          <w:tab w:val="left" w:pos="0"/>
          <w:tab w:val="left" w:pos="709"/>
        </w:tabs>
        <w:jc w:val="both"/>
        <w:rPr>
          <w:rFonts w:ascii="Arial" w:hAnsi="Arial" w:cs="Arial"/>
          <w:sz w:val="18"/>
          <w:szCs w:val="18"/>
        </w:rPr>
      </w:pPr>
      <w:r w:rsidRPr="0071563F">
        <w:rPr>
          <w:rFonts w:ascii="Arial" w:hAnsi="Arial" w:cs="Arial"/>
          <w:sz w:val="18"/>
          <w:szCs w:val="18"/>
        </w:rPr>
        <w:t xml:space="preserve">Con el propósito de lograr una adecuada medición y/o reporte de los riesgos de crédito, mercado, operacional, </w:t>
      </w:r>
      <w:r w:rsidR="004E793A" w:rsidRPr="00317408">
        <w:rPr>
          <w:rFonts w:ascii="Arial" w:hAnsi="Arial" w:cs="Arial"/>
          <w:b/>
          <w:bCs/>
          <w:sz w:val="18"/>
          <w:szCs w:val="18"/>
        </w:rPr>
        <w:t>de contraparte</w:t>
      </w:r>
      <w:r w:rsidR="004E793A">
        <w:rPr>
          <w:rFonts w:ascii="Arial" w:hAnsi="Arial" w:cs="Arial"/>
          <w:sz w:val="18"/>
          <w:szCs w:val="18"/>
        </w:rPr>
        <w:t xml:space="preserve">, </w:t>
      </w:r>
      <w:r w:rsidRPr="0071563F">
        <w:rPr>
          <w:rFonts w:ascii="Arial" w:hAnsi="Arial" w:cs="Arial"/>
          <w:sz w:val="18"/>
          <w:szCs w:val="18"/>
        </w:rPr>
        <w:t>liquidez</w:t>
      </w:r>
      <w:r w:rsidR="00DF29CB">
        <w:rPr>
          <w:rFonts w:ascii="Arial" w:hAnsi="Arial" w:cs="Arial"/>
          <w:sz w:val="18"/>
          <w:szCs w:val="18"/>
        </w:rPr>
        <w:t>,</w:t>
      </w:r>
      <w:r w:rsidRPr="0071563F">
        <w:rPr>
          <w:rFonts w:ascii="Arial" w:hAnsi="Arial" w:cs="Arial"/>
          <w:sz w:val="18"/>
          <w:szCs w:val="18"/>
        </w:rPr>
        <w:t xml:space="preserve"> país</w:t>
      </w:r>
      <w:r w:rsidR="00DF29CB">
        <w:rPr>
          <w:rFonts w:ascii="Arial" w:hAnsi="Arial" w:cs="Arial"/>
          <w:sz w:val="18"/>
          <w:szCs w:val="18"/>
        </w:rPr>
        <w:t xml:space="preserve"> </w:t>
      </w:r>
      <w:r w:rsidR="00DF29CB" w:rsidRPr="00C819C6">
        <w:rPr>
          <w:rFonts w:ascii="Arial" w:hAnsi="Arial" w:cs="Arial"/>
          <w:bCs/>
          <w:sz w:val="18"/>
          <w:szCs w:val="18"/>
        </w:rPr>
        <w:t>y tasa de interés del libro bancario</w:t>
      </w:r>
      <w:r w:rsidRPr="0071563F">
        <w:rPr>
          <w:rFonts w:ascii="Arial" w:hAnsi="Arial" w:cs="Arial"/>
          <w:sz w:val="18"/>
          <w:szCs w:val="18"/>
        </w:rPr>
        <w:t>, bajo estándares homogéneos, así como asignar el deterioro (en adelante provisiones), la liquidez y el capital necesario para cubrir el riesgo de mercado y operacional, la entidad debe dar cumplimiento con los lineamientos establecidos en la presente Parte.</w:t>
      </w:r>
    </w:p>
    <w:p w14:paraId="7AACDDA5" w14:textId="77777777" w:rsidR="00245B09" w:rsidRPr="0071563F" w:rsidRDefault="00245B09" w:rsidP="0091500F">
      <w:pPr>
        <w:tabs>
          <w:tab w:val="left" w:pos="426"/>
        </w:tabs>
        <w:jc w:val="both"/>
        <w:rPr>
          <w:rFonts w:ascii="Arial" w:hAnsi="Arial" w:cs="Arial"/>
          <w:sz w:val="18"/>
          <w:szCs w:val="18"/>
        </w:rPr>
      </w:pPr>
      <w:r w:rsidRPr="0071563F">
        <w:rPr>
          <w:rFonts w:ascii="Arial" w:hAnsi="Arial" w:cs="Arial"/>
          <w:sz w:val="18"/>
          <w:szCs w:val="18"/>
        </w:rPr>
        <w:t>En el ámbito de aplicación de cada riesgo se señalan las entidades que deben dar cumplimiento a las instrucciones correspondientes.</w:t>
      </w:r>
    </w:p>
    <w:p w14:paraId="64C734C8" w14:textId="77777777" w:rsidR="005D0389" w:rsidRDefault="005D0389" w:rsidP="00245B09">
      <w:pPr>
        <w:spacing w:after="200" w:line="276" w:lineRule="auto"/>
        <w:rPr>
          <w:rFonts w:ascii="Arial" w:hAnsi="Arial" w:cs="Arial"/>
          <w:sz w:val="18"/>
          <w:szCs w:val="18"/>
        </w:rPr>
        <w:sectPr w:rsidR="005D0389" w:rsidSect="00441398">
          <w:headerReference w:type="default" r:id="rId19"/>
          <w:pgSz w:w="12240" w:h="18720" w:code="120"/>
          <w:pgMar w:top="1417" w:right="1701" w:bottom="1417" w:left="1701" w:header="708" w:footer="708" w:gutter="0"/>
          <w:cols w:space="708"/>
          <w:docGrid w:linePitch="360"/>
        </w:sectPr>
      </w:pPr>
    </w:p>
    <w:p w14:paraId="26E22EC9" w14:textId="151E27DB" w:rsidR="00837088" w:rsidRPr="00B73F60" w:rsidRDefault="00663CC2" w:rsidP="00136264">
      <w:pPr>
        <w:pStyle w:val="Prrafodelista"/>
        <w:numPr>
          <w:ilvl w:val="0"/>
          <w:numId w:val="1"/>
        </w:numPr>
        <w:pBdr>
          <w:left w:val="single" w:sz="4" w:space="4" w:color="auto"/>
        </w:pBdr>
        <w:jc w:val="both"/>
        <w:rPr>
          <w:rFonts w:ascii="Arial" w:hAnsi="Arial" w:cs="Arial"/>
          <w:b/>
          <w:bCs/>
          <w:sz w:val="18"/>
          <w:szCs w:val="18"/>
        </w:rPr>
      </w:pPr>
      <w:r w:rsidRPr="00B73F60">
        <w:rPr>
          <w:rFonts w:ascii="Arial" w:hAnsi="Arial" w:cs="Arial"/>
          <w:b/>
          <w:bCs/>
          <w:sz w:val="18"/>
          <w:szCs w:val="18"/>
        </w:rPr>
        <w:lastRenderedPageBreak/>
        <w:t>MODELO DE RIESGO DE CONTRAPARTE</w:t>
      </w:r>
    </w:p>
    <w:p w14:paraId="275E9624" w14:textId="77777777" w:rsidR="002F7486" w:rsidRDefault="002F7486" w:rsidP="00136264">
      <w:pPr>
        <w:pStyle w:val="Prrafodelista"/>
        <w:pBdr>
          <w:left w:val="single" w:sz="4" w:space="4" w:color="auto"/>
        </w:pBdr>
        <w:ind w:left="0"/>
        <w:jc w:val="both"/>
        <w:rPr>
          <w:rFonts w:ascii="Arial" w:hAnsi="Arial" w:cs="Arial"/>
          <w:b/>
          <w:bCs/>
          <w:sz w:val="18"/>
          <w:szCs w:val="18"/>
        </w:rPr>
      </w:pPr>
    </w:p>
    <w:p w14:paraId="3C0D5BBC" w14:textId="72B2B160" w:rsidR="00DE4E72" w:rsidRDefault="0000563E" w:rsidP="00136264">
      <w:pPr>
        <w:pStyle w:val="Prrafodelista"/>
        <w:numPr>
          <w:ilvl w:val="1"/>
          <w:numId w:val="1"/>
        </w:numPr>
        <w:pBdr>
          <w:left w:val="single" w:sz="4" w:space="4" w:color="auto"/>
        </w:pBdr>
        <w:jc w:val="both"/>
        <w:rPr>
          <w:rFonts w:ascii="Arial" w:hAnsi="Arial" w:cs="Arial"/>
          <w:b/>
          <w:bCs/>
          <w:sz w:val="18"/>
          <w:szCs w:val="18"/>
        </w:rPr>
      </w:pPr>
      <w:r>
        <w:rPr>
          <w:rFonts w:ascii="Arial" w:hAnsi="Arial" w:cs="Arial"/>
          <w:b/>
          <w:bCs/>
          <w:sz w:val="18"/>
          <w:szCs w:val="18"/>
        </w:rPr>
        <w:t xml:space="preserve">Ámbito de aplicación </w:t>
      </w:r>
    </w:p>
    <w:p w14:paraId="09345C7B" w14:textId="78A79D5C" w:rsidR="00B24303" w:rsidRPr="00160940" w:rsidRDefault="00B24303" w:rsidP="00136264">
      <w:pPr>
        <w:pBdr>
          <w:left w:val="single" w:sz="4" w:space="4" w:color="auto"/>
        </w:pBdr>
        <w:jc w:val="both"/>
        <w:rPr>
          <w:rFonts w:ascii="Arial" w:hAnsi="Arial" w:cs="Arial"/>
          <w:b/>
          <w:bCs/>
          <w:sz w:val="18"/>
          <w:szCs w:val="18"/>
        </w:rPr>
      </w:pPr>
      <w:r w:rsidRPr="00160940">
        <w:rPr>
          <w:rFonts w:ascii="Arial" w:hAnsi="Arial" w:cs="Arial"/>
          <w:b/>
          <w:bCs/>
          <w:sz w:val="18"/>
          <w:szCs w:val="18"/>
        </w:rPr>
        <w:t>Las instrucciones del presente numeral son aplicables a las entidades sometidas a inspección y vigilancia de la SFC que, en el marco de su régimen legal, celebren operaci</w:t>
      </w:r>
      <w:r w:rsidR="00246320">
        <w:rPr>
          <w:rFonts w:ascii="Arial" w:hAnsi="Arial" w:cs="Arial"/>
          <w:b/>
          <w:bCs/>
          <w:sz w:val="18"/>
          <w:szCs w:val="18"/>
        </w:rPr>
        <w:t>ones</w:t>
      </w:r>
      <w:r w:rsidRPr="00160940">
        <w:rPr>
          <w:rFonts w:ascii="Arial" w:hAnsi="Arial" w:cs="Arial"/>
          <w:b/>
          <w:bCs/>
          <w:sz w:val="18"/>
          <w:szCs w:val="18"/>
        </w:rPr>
        <w:t xml:space="preserve"> expuesta</w:t>
      </w:r>
      <w:r w:rsidR="00246320">
        <w:rPr>
          <w:rFonts w:ascii="Arial" w:hAnsi="Arial" w:cs="Arial"/>
          <w:b/>
          <w:bCs/>
          <w:sz w:val="18"/>
          <w:szCs w:val="18"/>
        </w:rPr>
        <w:t>s</w:t>
      </w:r>
      <w:r w:rsidRPr="00160940">
        <w:rPr>
          <w:rFonts w:ascii="Arial" w:hAnsi="Arial" w:cs="Arial"/>
          <w:b/>
          <w:bCs/>
          <w:sz w:val="18"/>
          <w:szCs w:val="18"/>
        </w:rPr>
        <w:t xml:space="preserve"> a RiC sobre valores, </w:t>
      </w:r>
      <w:r w:rsidRPr="00160940">
        <w:rPr>
          <w:rFonts w:ascii="Arial" w:hAnsi="Arial" w:cs="Arial"/>
          <w:b/>
          <w:bCs/>
          <w:i/>
          <w:iCs/>
          <w:sz w:val="18"/>
          <w:szCs w:val="18"/>
        </w:rPr>
        <w:t>commodities</w:t>
      </w:r>
      <w:r w:rsidRPr="00160940">
        <w:rPr>
          <w:rFonts w:ascii="Arial" w:hAnsi="Arial" w:cs="Arial"/>
          <w:b/>
          <w:bCs/>
          <w:sz w:val="18"/>
          <w:szCs w:val="18"/>
        </w:rPr>
        <w:t>, divisas, entre otros, por cuenta propia o de terceros.</w:t>
      </w:r>
    </w:p>
    <w:p w14:paraId="38CC7EF3" w14:textId="514CD326" w:rsidR="00B24303" w:rsidRPr="00160940" w:rsidRDefault="00B24303" w:rsidP="00136264">
      <w:pPr>
        <w:pBdr>
          <w:left w:val="single" w:sz="4" w:space="4" w:color="auto"/>
        </w:pBdr>
        <w:jc w:val="both"/>
        <w:rPr>
          <w:rFonts w:ascii="Arial" w:hAnsi="Arial" w:cs="Arial"/>
          <w:b/>
          <w:bCs/>
          <w:sz w:val="18"/>
          <w:szCs w:val="18"/>
        </w:rPr>
      </w:pPr>
      <w:r w:rsidRPr="00160940">
        <w:rPr>
          <w:rFonts w:ascii="Arial" w:hAnsi="Arial" w:cs="Arial"/>
          <w:b/>
          <w:bCs/>
          <w:sz w:val="18"/>
          <w:szCs w:val="18"/>
        </w:rPr>
        <w:t>Para</w:t>
      </w:r>
      <w:r w:rsidR="00246320">
        <w:rPr>
          <w:rFonts w:ascii="Arial" w:hAnsi="Arial" w:cs="Arial"/>
          <w:b/>
          <w:bCs/>
          <w:sz w:val="18"/>
          <w:szCs w:val="18"/>
        </w:rPr>
        <w:t xml:space="preserve"> </w:t>
      </w:r>
      <w:r w:rsidRPr="00160940">
        <w:rPr>
          <w:rFonts w:ascii="Arial" w:hAnsi="Arial" w:cs="Arial"/>
          <w:b/>
          <w:bCs/>
          <w:sz w:val="18"/>
          <w:szCs w:val="18"/>
        </w:rPr>
        <w:t>efectos</w:t>
      </w:r>
      <w:r w:rsidR="00246320">
        <w:rPr>
          <w:rFonts w:ascii="Arial" w:hAnsi="Arial" w:cs="Arial"/>
          <w:b/>
          <w:bCs/>
          <w:sz w:val="18"/>
          <w:szCs w:val="18"/>
        </w:rPr>
        <w:t xml:space="preserve"> del presente</w:t>
      </w:r>
      <w:r w:rsidR="00F628B5">
        <w:rPr>
          <w:rFonts w:ascii="Arial" w:hAnsi="Arial" w:cs="Arial"/>
          <w:b/>
          <w:bCs/>
          <w:sz w:val="18"/>
          <w:szCs w:val="18"/>
        </w:rPr>
        <w:t xml:space="preserve"> numeral</w:t>
      </w:r>
      <w:r w:rsidRPr="00160940">
        <w:rPr>
          <w:rFonts w:ascii="Arial" w:hAnsi="Arial" w:cs="Arial"/>
          <w:b/>
          <w:bCs/>
          <w:sz w:val="18"/>
          <w:szCs w:val="18"/>
        </w:rPr>
        <w:t>, se consideran operaciones expuestas al RiC:</w:t>
      </w:r>
    </w:p>
    <w:p w14:paraId="182F06D3" w14:textId="77777777" w:rsidR="00B24303" w:rsidRPr="00160940" w:rsidRDefault="00B24303" w:rsidP="00136264">
      <w:pPr>
        <w:pStyle w:val="Prrafodelista"/>
        <w:numPr>
          <w:ilvl w:val="0"/>
          <w:numId w:val="28"/>
        </w:numPr>
        <w:pBdr>
          <w:left w:val="single" w:sz="4" w:space="4" w:color="auto"/>
        </w:pBdr>
        <w:ind w:left="284" w:hanging="284"/>
        <w:jc w:val="both"/>
        <w:rPr>
          <w:rFonts w:ascii="Arial" w:hAnsi="Arial" w:cs="Arial"/>
          <w:b/>
          <w:bCs/>
          <w:sz w:val="18"/>
          <w:szCs w:val="18"/>
        </w:rPr>
      </w:pPr>
      <w:r w:rsidRPr="00160940">
        <w:rPr>
          <w:rFonts w:ascii="Arial" w:hAnsi="Arial" w:cs="Arial"/>
          <w:b/>
          <w:bCs/>
          <w:sz w:val="18"/>
          <w:szCs w:val="18"/>
        </w:rPr>
        <w:t>Las operaciones del mercado monetario: repos, simultáneas y operaciones de transferencia temporal de valores.</w:t>
      </w:r>
    </w:p>
    <w:p w14:paraId="5F257842" w14:textId="77777777" w:rsidR="00B24303" w:rsidRPr="00160940" w:rsidRDefault="00B24303" w:rsidP="00136264">
      <w:pPr>
        <w:pStyle w:val="Prrafodelista"/>
        <w:pBdr>
          <w:left w:val="single" w:sz="4" w:space="4" w:color="auto"/>
        </w:pBdr>
        <w:ind w:left="284" w:hanging="284"/>
        <w:jc w:val="both"/>
        <w:rPr>
          <w:rFonts w:ascii="Arial" w:hAnsi="Arial" w:cs="Arial"/>
          <w:b/>
          <w:bCs/>
          <w:sz w:val="18"/>
          <w:szCs w:val="18"/>
        </w:rPr>
      </w:pPr>
    </w:p>
    <w:p w14:paraId="3B83713D" w14:textId="77777777" w:rsidR="00B24303" w:rsidRPr="00160940" w:rsidRDefault="00B24303" w:rsidP="00136264">
      <w:pPr>
        <w:pStyle w:val="Prrafodelista"/>
        <w:numPr>
          <w:ilvl w:val="0"/>
          <w:numId w:val="28"/>
        </w:numPr>
        <w:pBdr>
          <w:left w:val="single" w:sz="4" w:space="4" w:color="auto"/>
        </w:pBdr>
        <w:ind w:left="284" w:hanging="284"/>
        <w:jc w:val="both"/>
        <w:rPr>
          <w:rFonts w:ascii="Arial" w:hAnsi="Arial" w:cs="Arial"/>
          <w:b/>
          <w:bCs/>
          <w:sz w:val="18"/>
          <w:szCs w:val="18"/>
        </w:rPr>
      </w:pPr>
      <w:r w:rsidRPr="00160940">
        <w:rPr>
          <w:rFonts w:ascii="Arial" w:hAnsi="Arial" w:cs="Arial"/>
          <w:b/>
          <w:bCs/>
          <w:sz w:val="18"/>
          <w:szCs w:val="18"/>
        </w:rPr>
        <w:t xml:space="preserve">Las operaciones sobre instrumentos financieros derivados y productos estructurados. </w:t>
      </w:r>
    </w:p>
    <w:p w14:paraId="3C9C1544" w14:textId="77777777" w:rsidR="00B24303" w:rsidRPr="00160940" w:rsidRDefault="00B24303" w:rsidP="00136264">
      <w:pPr>
        <w:pStyle w:val="Prrafodelista"/>
        <w:pBdr>
          <w:left w:val="single" w:sz="4" w:space="4" w:color="auto"/>
        </w:pBdr>
        <w:ind w:left="284" w:hanging="284"/>
        <w:rPr>
          <w:rFonts w:ascii="Arial" w:hAnsi="Arial" w:cs="Arial"/>
          <w:b/>
          <w:bCs/>
          <w:sz w:val="18"/>
          <w:szCs w:val="18"/>
        </w:rPr>
      </w:pPr>
    </w:p>
    <w:p w14:paraId="4AE89EF4" w14:textId="77777777" w:rsidR="00B24303" w:rsidRPr="00160940" w:rsidRDefault="00B24303" w:rsidP="00136264">
      <w:pPr>
        <w:pStyle w:val="Prrafodelista"/>
        <w:numPr>
          <w:ilvl w:val="0"/>
          <w:numId w:val="28"/>
        </w:numPr>
        <w:pBdr>
          <w:left w:val="single" w:sz="4" w:space="4" w:color="auto"/>
        </w:pBdr>
        <w:ind w:left="284" w:hanging="284"/>
        <w:jc w:val="both"/>
        <w:rPr>
          <w:rFonts w:ascii="Arial" w:hAnsi="Arial" w:cs="Arial"/>
          <w:b/>
          <w:bCs/>
          <w:sz w:val="18"/>
          <w:szCs w:val="18"/>
        </w:rPr>
      </w:pPr>
      <w:r w:rsidRPr="00160940">
        <w:rPr>
          <w:rFonts w:ascii="Arial" w:hAnsi="Arial" w:cs="Arial"/>
          <w:b/>
          <w:bCs/>
          <w:sz w:val="18"/>
          <w:szCs w:val="18"/>
        </w:rPr>
        <w:t>Las operaciones de contado.</w:t>
      </w:r>
    </w:p>
    <w:p w14:paraId="5926DAE5" w14:textId="77777777" w:rsidR="00B24303" w:rsidRPr="00160940" w:rsidRDefault="00B24303" w:rsidP="00136264">
      <w:pPr>
        <w:pStyle w:val="Prrafodelista"/>
        <w:pBdr>
          <w:left w:val="single" w:sz="4" w:space="4" w:color="auto"/>
        </w:pBdr>
        <w:ind w:left="284" w:hanging="284"/>
        <w:jc w:val="both"/>
        <w:rPr>
          <w:rFonts w:ascii="Arial" w:hAnsi="Arial" w:cs="Arial"/>
          <w:b/>
          <w:bCs/>
          <w:sz w:val="18"/>
          <w:szCs w:val="18"/>
        </w:rPr>
      </w:pPr>
    </w:p>
    <w:p w14:paraId="42A85E61" w14:textId="34FE06C4" w:rsidR="00B24303" w:rsidRPr="00160940" w:rsidRDefault="00B24303" w:rsidP="00136264">
      <w:pPr>
        <w:pStyle w:val="Prrafodelista"/>
        <w:numPr>
          <w:ilvl w:val="0"/>
          <w:numId w:val="28"/>
        </w:numPr>
        <w:pBdr>
          <w:left w:val="single" w:sz="4" w:space="4" w:color="auto"/>
        </w:pBdr>
        <w:ind w:left="284" w:hanging="284"/>
        <w:jc w:val="both"/>
        <w:rPr>
          <w:rFonts w:ascii="Arial" w:hAnsi="Arial" w:cs="Arial"/>
          <w:b/>
          <w:bCs/>
          <w:sz w:val="18"/>
          <w:szCs w:val="18"/>
        </w:rPr>
      </w:pPr>
      <w:r w:rsidRPr="26E3A651">
        <w:rPr>
          <w:rFonts w:ascii="Arial" w:hAnsi="Arial" w:cs="Arial"/>
          <w:b/>
          <w:bCs/>
          <w:sz w:val="18"/>
          <w:szCs w:val="18"/>
        </w:rPr>
        <w:t xml:space="preserve">Cualquier otra operación sobre valores, </w:t>
      </w:r>
      <w:r w:rsidRPr="26E3A651">
        <w:rPr>
          <w:rFonts w:ascii="Arial" w:hAnsi="Arial" w:cs="Arial"/>
          <w:b/>
          <w:bCs/>
          <w:i/>
          <w:iCs/>
          <w:sz w:val="18"/>
          <w:szCs w:val="18"/>
        </w:rPr>
        <w:t>commodities</w:t>
      </w:r>
      <w:r w:rsidRPr="26E3A651">
        <w:rPr>
          <w:rFonts w:ascii="Arial" w:hAnsi="Arial" w:cs="Arial"/>
          <w:b/>
          <w:bCs/>
          <w:sz w:val="18"/>
          <w:szCs w:val="18"/>
        </w:rPr>
        <w:t xml:space="preserve"> o divisas, entre otr</w:t>
      </w:r>
      <w:r w:rsidR="2F9A093B" w:rsidRPr="26E3A651">
        <w:rPr>
          <w:rFonts w:ascii="Arial" w:hAnsi="Arial" w:cs="Arial"/>
          <w:b/>
          <w:bCs/>
          <w:sz w:val="18"/>
          <w:szCs w:val="18"/>
        </w:rPr>
        <w:t>a</w:t>
      </w:r>
      <w:r w:rsidRPr="26E3A651">
        <w:rPr>
          <w:rFonts w:ascii="Arial" w:hAnsi="Arial" w:cs="Arial"/>
          <w:b/>
          <w:bCs/>
          <w:sz w:val="18"/>
          <w:szCs w:val="18"/>
        </w:rPr>
        <w:t xml:space="preserve">s, que genere una exposición al RiC. </w:t>
      </w:r>
    </w:p>
    <w:p w14:paraId="50398B40" w14:textId="2670AFF9" w:rsidR="00B24303" w:rsidRPr="00160940" w:rsidRDefault="00B24303" w:rsidP="00136264">
      <w:pPr>
        <w:pBdr>
          <w:left w:val="single" w:sz="4" w:space="4" w:color="auto"/>
        </w:pBdr>
        <w:jc w:val="both"/>
        <w:rPr>
          <w:rFonts w:ascii="Arial" w:hAnsi="Arial" w:cs="Arial"/>
          <w:b/>
          <w:bCs/>
          <w:sz w:val="18"/>
          <w:szCs w:val="18"/>
        </w:rPr>
      </w:pPr>
      <w:r w:rsidRPr="26E3A651">
        <w:rPr>
          <w:rFonts w:ascii="Arial" w:hAnsi="Arial" w:cs="Arial"/>
          <w:b/>
          <w:bCs/>
          <w:sz w:val="18"/>
          <w:szCs w:val="18"/>
        </w:rPr>
        <w:t>Las entidades vigiladas que administren recursos de terceros deben asegurarse de que</w:t>
      </w:r>
      <w:r w:rsidR="00F628B5">
        <w:rPr>
          <w:rFonts w:ascii="Arial" w:hAnsi="Arial" w:cs="Arial"/>
          <w:b/>
          <w:bCs/>
          <w:sz w:val="18"/>
          <w:szCs w:val="18"/>
        </w:rPr>
        <w:t>,</w:t>
      </w:r>
      <w:r w:rsidRPr="26E3A651">
        <w:rPr>
          <w:rFonts w:ascii="Arial" w:hAnsi="Arial" w:cs="Arial"/>
          <w:b/>
          <w:bCs/>
          <w:sz w:val="18"/>
          <w:szCs w:val="18"/>
        </w:rPr>
        <w:t xml:space="preserve"> los vehículos administrados </w:t>
      </w:r>
      <w:r w:rsidR="3361F883" w:rsidRPr="26E3A651">
        <w:rPr>
          <w:rFonts w:ascii="Arial" w:hAnsi="Arial" w:cs="Arial"/>
          <w:b/>
          <w:bCs/>
          <w:sz w:val="18"/>
          <w:szCs w:val="18"/>
        </w:rPr>
        <w:t>a través de los cuales se</w:t>
      </w:r>
      <w:r w:rsidRPr="26E3A651">
        <w:rPr>
          <w:rFonts w:ascii="Arial" w:hAnsi="Arial" w:cs="Arial"/>
          <w:b/>
          <w:bCs/>
          <w:sz w:val="18"/>
          <w:szCs w:val="18"/>
        </w:rPr>
        <w:t xml:space="preserve"> realicen operaciones expuestas al RiC</w:t>
      </w:r>
      <w:r w:rsidR="00F628B5">
        <w:rPr>
          <w:rFonts w:ascii="Arial" w:hAnsi="Arial" w:cs="Arial"/>
          <w:b/>
          <w:bCs/>
          <w:sz w:val="18"/>
          <w:szCs w:val="18"/>
        </w:rPr>
        <w:t>,</w:t>
      </w:r>
      <w:r w:rsidRPr="26E3A651">
        <w:rPr>
          <w:rFonts w:ascii="Arial" w:hAnsi="Arial" w:cs="Arial"/>
          <w:b/>
          <w:bCs/>
          <w:sz w:val="18"/>
          <w:szCs w:val="18"/>
        </w:rPr>
        <w:t xml:space="preserve"> cumplan con las políticas de </w:t>
      </w:r>
      <w:r w:rsidR="00F71580" w:rsidRPr="26E3A651">
        <w:rPr>
          <w:rFonts w:ascii="Arial" w:hAnsi="Arial" w:cs="Arial"/>
          <w:b/>
          <w:bCs/>
          <w:sz w:val="18"/>
          <w:szCs w:val="18"/>
        </w:rPr>
        <w:t>medición</w:t>
      </w:r>
      <w:r w:rsidRPr="26E3A651">
        <w:rPr>
          <w:rFonts w:ascii="Arial" w:hAnsi="Arial" w:cs="Arial"/>
          <w:b/>
          <w:bCs/>
          <w:sz w:val="18"/>
          <w:szCs w:val="18"/>
        </w:rPr>
        <w:t xml:space="preserve"> del RiC definidas por la entidad en el marco de lo previsto en el presente numeral.</w:t>
      </w:r>
    </w:p>
    <w:p w14:paraId="4A9FF230" w14:textId="515626AC" w:rsidR="00B24303" w:rsidRPr="00160940" w:rsidRDefault="00B24303" w:rsidP="00136264">
      <w:pPr>
        <w:pBdr>
          <w:left w:val="single" w:sz="4" w:space="4" w:color="auto"/>
        </w:pBdr>
        <w:jc w:val="both"/>
        <w:rPr>
          <w:rFonts w:ascii="Arial" w:hAnsi="Arial" w:cs="Arial"/>
          <w:b/>
          <w:bCs/>
          <w:sz w:val="18"/>
          <w:szCs w:val="18"/>
        </w:rPr>
      </w:pPr>
      <w:r w:rsidRPr="26E3A651">
        <w:rPr>
          <w:rFonts w:ascii="Arial" w:hAnsi="Arial" w:cs="Arial"/>
          <w:b/>
          <w:bCs/>
          <w:sz w:val="18"/>
          <w:szCs w:val="18"/>
        </w:rPr>
        <w:t>Sin perjuicio de lo anterior, las instrucciones contenidas en el Capítulo XVIII «</w:t>
      </w:r>
      <w:r w:rsidRPr="26E3A651">
        <w:rPr>
          <w:rFonts w:ascii="Arial" w:hAnsi="Arial" w:cs="Arial"/>
          <w:b/>
          <w:bCs/>
          <w:i/>
          <w:iCs/>
          <w:sz w:val="18"/>
          <w:szCs w:val="18"/>
        </w:rPr>
        <w:t>Instrumentos financieros derivados y productos estructurados</w:t>
      </w:r>
      <w:r w:rsidRPr="26E3A651">
        <w:rPr>
          <w:rFonts w:ascii="Arial" w:hAnsi="Arial" w:cs="Arial"/>
          <w:b/>
          <w:bCs/>
          <w:sz w:val="18"/>
          <w:szCs w:val="18"/>
        </w:rPr>
        <w:t>» aplica</w:t>
      </w:r>
      <w:r w:rsidR="00155EC5">
        <w:rPr>
          <w:rFonts w:ascii="Arial" w:hAnsi="Arial" w:cs="Arial"/>
          <w:b/>
          <w:bCs/>
          <w:sz w:val="18"/>
          <w:szCs w:val="18"/>
        </w:rPr>
        <w:t xml:space="preserve">n </w:t>
      </w:r>
      <w:r w:rsidRPr="26E3A651">
        <w:rPr>
          <w:rFonts w:ascii="Arial" w:hAnsi="Arial" w:cs="Arial"/>
          <w:b/>
          <w:bCs/>
          <w:sz w:val="18"/>
          <w:szCs w:val="18"/>
        </w:rPr>
        <w:t xml:space="preserve">a la </w:t>
      </w:r>
      <w:r w:rsidR="00B177D4" w:rsidRPr="26E3A651">
        <w:rPr>
          <w:rFonts w:ascii="Arial" w:hAnsi="Arial" w:cs="Arial"/>
          <w:b/>
          <w:bCs/>
          <w:sz w:val="18"/>
          <w:szCs w:val="18"/>
        </w:rPr>
        <w:t>medición</w:t>
      </w:r>
      <w:r w:rsidRPr="26E3A651">
        <w:rPr>
          <w:rFonts w:ascii="Arial" w:hAnsi="Arial" w:cs="Arial"/>
          <w:b/>
          <w:bCs/>
          <w:sz w:val="18"/>
          <w:szCs w:val="18"/>
        </w:rPr>
        <w:t xml:space="preserve"> de los riesgos de los instrumentos financieros derivados y productos estructurados</w:t>
      </w:r>
      <w:r w:rsidR="00FB1995">
        <w:rPr>
          <w:rFonts w:ascii="Arial" w:hAnsi="Arial" w:cs="Arial"/>
          <w:b/>
          <w:bCs/>
          <w:sz w:val="18"/>
          <w:szCs w:val="18"/>
        </w:rPr>
        <w:t xml:space="preserve">, y </w:t>
      </w:r>
      <w:r w:rsidR="00561D19">
        <w:rPr>
          <w:rFonts w:ascii="Arial" w:hAnsi="Arial" w:cs="Arial"/>
          <w:b/>
          <w:bCs/>
          <w:sz w:val="18"/>
          <w:szCs w:val="18"/>
        </w:rPr>
        <w:t>en</w:t>
      </w:r>
      <w:r w:rsidR="00FB1995">
        <w:rPr>
          <w:rFonts w:ascii="Arial" w:hAnsi="Arial" w:cs="Arial"/>
          <w:b/>
          <w:bCs/>
          <w:sz w:val="18"/>
          <w:szCs w:val="18"/>
        </w:rPr>
        <w:t xml:space="preserve"> aquello </w:t>
      </w:r>
      <w:r w:rsidR="00FB1995" w:rsidRPr="00FB1995">
        <w:rPr>
          <w:rFonts w:ascii="Arial" w:hAnsi="Arial" w:cs="Arial"/>
          <w:b/>
          <w:bCs/>
          <w:sz w:val="18"/>
          <w:szCs w:val="18"/>
        </w:rPr>
        <w:t>que no se encuentre regulado en el referido Capítulo XVIII</w:t>
      </w:r>
      <w:r w:rsidR="00561D19">
        <w:rPr>
          <w:rFonts w:ascii="Arial" w:hAnsi="Arial" w:cs="Arial"/>
          <w:b/>
          <w:bCs/>
          <w:sz w:val="18"/>
          <w:szCs w:val="18"/>
        </w:rPr>
        <w:t>,</w:t>
      </w:r>
      <w:r w:rsidR="00FB1995" w:rsidRPr="00FB1995">
        <w:rPr>
          <w:rFonts w:ascii="Arial" w:hAnsi="Arial" w:cs="Arial"/>
          <w:b/>
          <w:bCs/>
          <w:sz w:val="18"/>
          <w:szCs w:val="18"/>
        </w:rPr>
        <w:t xml:space="preserve"> deben aplicar las instrucciones previstas en el presente numeral</w:t>
      </w:r>
      <w:r w:rsidRPr="26E3A651">
        <w:rPr>
          <w:rFonts w:ascii="Arial" w:hAnsi="Arial" w:cs="Arial"/>
          <w:b/>
          <w:bCs/>
          <w:sz w:val="18"/>
          <w:szCs w:val="18"/>
        </w:rPr>
        <w:t>.</w:t>
      </w:r>
    </w:p>
    <w:p w14:paraId="751AF067" w14:textId="77777777" w:rsidR="00B24303" w:rsidRPr="00160940" w:rsidRDefault="00B24303" w:rsidP="00136264">
      <w:pPr>
        <w:pBdr>
          <w:left w:val="single" w:sz="4" w:space="4" w:color="auto"/>
        </w:pBdr>
        <w:jc w:val="both"/>
        <w:rPr>
          <w:b/>
          <w:bCs/>
        </w:rPr>
      </w:pPr>
      <w:r w:rsidRPr="00160940">
        <w:rPr>
          <w:rFonts w:ascii="Arial" w:hAnsi="Arial" w:cs="Arial"/>
          <w:b/>
          <w:bCs/>
          <w:sz w:val="18"/>
          <w:szCs w:val="18"/>
        </w:rPr>
        <w:t>Las disposiciones de este numeral no resultan aplicables a la gestión de los riesgos de las operaciones activas de crédito que celebren los establecimientos de crédito</w:t>
      </w:r>
      <w:r>
        <w:rPr>
          <w:rFonts w:ascii="Arial" w:hAnsi="Arial" w:cs="Arial"/>
          <w:b/>
          <w:bCs/>
          <w:sz w:val="18"/>
          <w:szCs w:val="18"/>
        </w:rPr>
        <w:t>,</w:t>
      </w:r>
      <w:r w:rsidRPr="00160940">
        <w:rPr>
          <w:rFonts w:ascii="Arial" w:hAnsi="Arial" w:cs="Arial"/>
          <w:b/>
          <w:bCs/>
          <w:sz w:val="18"/>
          <w:szCs w:val="18"/>
        </w:rPr>
        <w:t xml:space="preserve"> ni a las operaciones expuestas a RiC que se compensen y liquiden a través de una CRCC. </w:t>
      </w:r>
    </w:p>
    <w:p w14:paraId="772496B3" w14:textId="5CAFEC24" w:rsidR="00FD2EB9" w:rsidRPr="008D72D8" w:rsidRDefault="000113C7" w:rsidP="00136264">
      <w:pPr>
        <w:pStyle w:val="Prrafodelista"/>
        <w:numPr>
          <w:ilvl w:val="1"/>
          <w:numId w:val="1"/>
        </w:numPr>
        <w:pBdr>
          <w:left w:val="single" w:sz="4" w:space="4" w:color="auto"/>
        </w:pBdr>
        <w:jc w:val="both"/>
        <w:rPr>
          <w:rFonts w:ascii="Arial" w:hAnsi="Arial" w:cs="Arial"/>
          <w:b/>
          <w:bCs/>
          <w:sz w:val="18"/>
          <w:szCs w:val="18"/>
        </w:rPr>
      </w:pPr>
      <w:r w:rsidRPr="008D72D8">
        <w:rPr>
          <w:rFonts w:ascii="Arial" w:hAnsi="Arial" w:cs="Arial"/>
          <w:b/>
          <w:bCs/>
          <w:sz w:val="18"/>
          <w:szCs w:val="18"/>
        </w:rPr>
        <w:t>Metodología de medición</w:t>
      </w:r>
    </w:p>
    <w:p w14:paraId="1B09CF08" w14:textId="03DE1FFA" w:rsidR="00C20F24" w:rsidRPr="008D72D8" w:rsidRDefault="00C20F24" w:rsidP="00136264">
      <w:pPr>
        <w:pBdr>
          <w:left w:val="single" w:sz="4" w:space="4" w:color="auto"/>
        </w:pBdr>
        <w:jc w:val="both"/>
        <w:rPr>
          <w:rFonts w:ascii="Arial" w:hAnsi="Arial" w:cs="Arial"/>
          <w:b/>
          <w:bCs/>
          <w:sz w:val="18"/>
          <w:szCs w:val="18"/>
        </w:rPr>
      </w:pPr>
      <w:r w:rsidRPr="26E3A651">
        <w:rPr>
          <w:rFonts w:ascii="Arial" w:hAnsi="Arial" w:cs="Arial"/>
          <w:b/>
          <w:bCs/>
          <w:sz w:val="18"/>
          <w:szCs w:val="18"/>
        </w:rPr>
        <w:t xml:space="preserve">De acuerdo con lo </w:t>
      </w:r>
      <w:r w:rsidR="00F1047E" w:rsidRPr="26E3A651">
        <w:rPr>
          <w:rFonts w:ascii="Arial" w:hAnsi="Arial" w:cs="Arial"/>
          <w:b/>
          <w:bCs/>
          <w:sz w:val="18"/>
          <w:szCs w:val="18"/>
        </w:rPr>
        <w:t xml:space="preserve">previsto en el numeral </w:t>
      </w:r>
      <w:r w:rsidR="00F22BC4" w:rsidRPr="26E3A651">
        <w:rPr>
          <w:rFonts w:ascii="Arial" w:hAnsi="Arial" w:cs="Arial"/>
          <w:b/>
          <w:bCs/>
          <w:sz w:val="18"/>
          <w:szCs w:val="18"/>
        </w:rPr>
        <w:t>7</w:t>
      </w:r>
      <w:r w:rsidR="00970FD0" w:rsidRPr="26E3A651">
        <w:rPr>
          <w:rFonts w:ascii="Arial" w:hAnsi="Arial" w:cs="Arial"/>
          <w:b/>
          <w:bCs/>
          <w:sz w:val="18"/>
          <w:szCs w:val="18"/>
        </w:rPr>
        <w:t>.2.1.2 de la</w:t>
      </w:r>
      <w:r w:rsidR="009B4658" w:rsidRPr="26E3A651">
        <w:rPr>
          <w:rFonts w:ascii="Arial" w:hAnsi="Arial" w:cs="Arial"/>
          <w:b/>
          <w:bCs/>
          <w:sz w:val="18"/>
          <w:szCs w:val="18"/>
        </w:rPr>
        <w:t xml:space="preserve"> Parte II </w:t>
      </w:r>
      <w:r w:rsidR="00941EF5" w:rsidRPr="26E3A651">
        <w:rPr>
          <w:rFonts w:ascii="Arial" w:hAnsi="Arial" w:cs="Arial"/>
          <w:b/>
          <w:bCs/>
          <w:sz w:val="18"/>
          <w:szCs w:val="18"/>
        </w:rPr>
        <w:t>del presente Capítulo</w:t>
      </w:r>
      <w:r w:rsidR="00B26BD9" w:rsidRPr="26E3A651">
        <w:rPr>
          <w:rFonts w:ascii="Arial" w:hAnsi="Arial" w:cs="Arial"/>
          <w:b/>
          <w:bCs/>
          <w:sz w:val="18"/>
          <w:szCs w:val="18"/>
        </w:rPr>
        <w:t xml:space="preserve">, las entidades deben </w:t>
      </w:r>
      <w:r w:rsidR="004855FD" w:rsidRPr="26E3A651">
        <w:rPr>
          <w:rFonts w:ascii="Arial" w:hAnsi="Arial" w:cs="Arial"/>
          <w:b/>
          <w:bCs/>
          <w:sz w:val="18"/>
          <w:szCs w:val="18"/>
        </w:rPr>
        <w:t xml:space="preserve">implementar modelos internos para la medición </w:t>
      </w:r>
      <w:r w:rsidR="00EA793B" w:rsidRPr="26E3A651">
        <w:rPr>
          <w:rFonts w:ascii="Arial" w:hAnsi="Arial" w:cs="Arial"/>
          <w:b/>
          <w:bCs/>
          <w:sz w:val="18"/>
          <w:szCs w:val="18"/>
        </w:rPr>
        <w:t xml:space="preserve">del RiC. </w:t>
      </w:r>
      <w:r w:rsidR="00327BC7" w:rsidRPr="26E3A651">
        <w:rPr>
          <w:rFonts w:ascii="Arial" w:hAnsi="Arial" w:cs="Arial"/>
          <w:b/>
          <w:bCs/>
          <w:sz w:val="18"/>
          <w:szCs w:val="18"/>
        </w:rPr>
        <w:t>Estos modelos deben desarrollar, como mínimo, las métricas que se indican en el Anexo 16 del presente Capítulo</w:t>
      </w:r>
      <w:r w:rsidR="00A80FC4" w:rsidRPr="26E3A651">
        <w:rPr>
          <w:rFonts w:ascii="Arial" w:hAnsi="Arial" w:cs="Arial"/>
          <w:b/>
          <w:bCs/>
          <w:sz w:val="18"/>
          <w:szCs w:val="18"/>
        </w:rPr>
        <w:t xml:space="preserve">, </w:t>
      </w:r>
      <w:r w:rsidR="00461723" w:rsidRPr="26E3A651">
        <w:rPr>
          <w:rFonts w:ascii="Arial" w:hAnsi="Arial" w:cs="Arial"/>
          <w:b/>
          <w:bCs/>
          <w:sz w:val="18"/>
          <w:szCs w:val="18"/>
        </w:rPr>
        <w:t xml:space="preserve">y las medidas de riesgo que se indican en el presente numeral. </w:t>
      </w:r>
      <w:r w:rsidR="00F25125" w:rsidRPr="26E3A651">
        <w:rPr>
          <w:rFonts w:ascii="Arial" w:hAnsi="Arial" w:cs="Arial"/>
          <w:b/>
          <w:bCs/>
          <w:sz w:val="18"/>
          <w:szCs w:val="18"/>
        </w:rPr>
        <w:t xml:space="preserve">Los modelos </w:t>
      </w:r>
      <w:r w:rsidR="46160A60" w:rsidRPr="26E3A651">
        <w:rPr>
          <w:rFonts w:ascii="Arial" w:hAnsi="Arial" w:cs="Arial"/>
          <w:b/>
          <w:bCs/>
          <w:sz w:val="18"/>
          <w:szCs w:val="18"/>
        </w:rPr>
        <w:t xml:space="preserve">internos </w:t>
      </w:r>
      <w:r w:rsidR="00F25125" w:rsidRPr="26E3A651">
        <w:rPr>
          <w:rFonts w:ascii="Arial" w:hAnsi="Arial" w:cs="Arial"/>
          <w:b/>
          <w:bCs/>
          <w:sz w:val="18"/>
          <w:szCs w:val="18"/>
        </w:rPr>
        <w:t xml:space="preserve">deben remitirse de forma previa a su implementación para no objeción de la SFC. </w:t>
      </w:r>
    </w:p>
    <w:p w14:paraId="56A2406E" w14:textId="77777777" w:rsidR="0064336A" w:rsidRPr="0064336A" w:rsidRDefault="0064336A" w:rsidP="0064336A">
      <w:pPr>
        <w:jc w:val="both"/>
        <w:rPr>
          <w:rFonts w:ascii="Arial" w:hAnsi="Arial" w:cs="Arial"/>
          <w:b/>
          <w:bCs/>
          <w:sz w:val="18"/>
          <w:szCs w:val="18"/>
        </w:rPr>
      </w:pPr>
    </w:p>
    <w:p w14:paraId="5E6994E2" w14:textId="77777777" w:rsidR="00937F4D" w:rsidRDefault="00937F4D" w:rsidP="00937F4D">
      <w:pPr>
        <w:jc w:val="both"/>
        <w:rPr>
          <w:rFonts w:ascii="Arial" w:hAnsi="Arial" w:cs="Arial"/>
          <w:b/>
          <w:bCs/>
          <w:sz w:val="18"/>
          <w:szCs w:val="18"/>
        </w:rPr>
        <w:sectPr w:rsidR="00937F4D" w:rsidSect="00441398">
          <w:headerReference w:type="default" r:id="rId20"/>
          <w:pgSz w:w="12240" w:h="18720" w:code="120"/>
          <w:pgMar w:top="1417" w:right="1701" w:bottom="1417" w:left="1701" w:header="708" w:footer="708" w:gutter="0"/>
          <w:cols w:space="708"/>
          <w:docGrid w:linePitch="360"/>
        </w:sectPr>
      </w:pPr>
    </w:p>
    <w:p w14:paraId="18E31A93" w14:textId="77777777" w:rsidR="00D35B0C" w:rsidRPr="00D35B0C" w:rsidRDefault="00D35B0C" w:rsidP="004E1343">
      <w:pPr>
        <w:tabs>
          <w:tab w:val="left" w:pos="426"/>
        </w:tabs>
        <w:spacing w:after="0" w:line="240" w:lineRule="auto"/>
        <w:jc w:val="center"/>
        <w:rPr>
          <w:rFonts w:ascii="Arial" w:eastAsia="Times New Roman" w:hAnsi="Arial" w:cs="Arial"/>
          <w:b/>
          <w:sz w:val="18"/>
          <w:szCs w:val="18"/>
          <w:lang w:eastAsia="es-ES"/>
        </w:rPr>
      </w:pPr>
      <w:r w:rsidRPr="00D35B0C">
        <w:rPr>
          <w:rFonts w:ascii="Arial" w:eastAsia="Times New Roman" w:hAnsi="Arial" w:cs="Arial"/>
          <w:b/>
          <w:sz w:val="18"/>
          <w:szCs w:val="18"/>
          <w:lang w:eastAsia="es-ES"/>
        </w:rPr>
        <w:lastRenderedPageBreak/>
        <w:t>PARTE V. DEFINICIONES</w:t>
      </w:r>
    </w:p>
    <w:p w14:paraId="5B7F4441" w14:textId="77777777" w:rsidR="00D35B0C" w:rsidRPr="00D35B0C" w:rsidRDefault="00D35B0C" w:rsidP="00D35B0C">
      <w:pPr>
        <w:tabs>
          <w:tab w:val="left" w:pos="426"/>
          <w:tab w:val="left" w:pos="1037"/>
        </w:tabs>
        <w:spacing w:after="0" w:line="240" w:lineRule="auto"/>
        <w:ind w:left="426" w:hanging="426"/>
        <w:jc w:val="both"/>
        <w:rPr>
          <w:rFonts w:ascii="Arial" w:eastAsia="Times New Roman" w:hAnsi="Arial" w:cs="Arial"/>
          <w:b/>
          <w:sz w:val="10"/>
          <w:szCs w:val="10"/>
          <w:lang w:eastAsia="es-ES"/>
        </w:rPr>
      </w:pPr>
    </w:p>
    <w:p w14:paraId="3C6A5D10" w14:textId="77777777" w:rsidR="00D35B0C" w:rsidRPr="00D35B0C" w:rsidRDefault="00D35B0C" w:rsidP="00D35B0C">
      <w:pPr>
        <w:tabs>
          <w:tab w:val="left" w:pos="426"/>
          <w:tab w:val="left" w:pos="1037"/>
        </w:tabs>
        <w:spacing w:after="0" w:line="240" w:lineRule="auto"/>
        <w:ind w:left="426" w:hanging="426"/>
        <w:jc w:val="both"/>
        <w:rPr>
          <w:rFonts w:ascii="Arial" w:eastAsia="Times New Roman" w:hAnsi="Arial" w:cs="Arial"/>
          <w:b/>
          <w:sz w:val="18"/>
          <w:szCs w:val="18"/>
          <w:lang w:eastAsia="es-ES"/>
        </w:rPr>
      </w:pPr>
      <w:r w:rsidRPr="00D35B0C">
        <w:rPr>
          <w:rFonts w:ascii="Arial" w:eastAsia="Times New Roman" w:hAnsi="Arial" w:cs="Arial"/>
          <w:bCs/>
          <w:sz w:val="18"/>
          <w:szCs w:val="18"/>
          <w:lang w:eastAsia="es-ES"/>
        </w:rPr>
        <w:t>Las siguientes definiciones se deben tener en cuenta para los fines del presente Capítulo y sus Anexos</w:t>
      </w:r>
      <w:r w:rsidRPr="00D35B0C">
        <w:rPr>
          <w:rFonts w:ascii="Arial" w:eastAsia="Times New Roman" w:hAnsi="Arial" w:cs="Arial"/>
          <w:b/>
          <w:sz w:val="18"/>
          <w:szCs w:val="18"/>
          <w:lang w:eastAsia="es-ES"/>
        </w:rPr>
        <w:t>.</w:t>
      </w:r>
    </w:p>
    <w:p w14:paraId="5780F46B" w14:textId="77777777" w:rsidR="00D35B0C" w:rsidRPr="00D35B0C" w:rsidRDefault="00D35B0C" w:rsidP="00D35B0C">
      <w:pPr>
        <w:tabs>
          <w:tab w:val="left" w:pos="426"/>
          <w:tab w:val="left" w:pos="1037"/>
        </w:tabs>
        <w:spacing w:after="0" w:line="240" w:lineRule="auto"/>
        <w:ind w:left="426" w:hanging="426"/>
        <w:jc w:val="both"/>
        <w:rPr>
          <w:rFonts w:ascii="Arial" w:eastAsia="Times New Roman" w:hAnsi="Arial" w:cs="Arial"/>
          <w:b/>
          <w:sz w:val="16"/>
          <w:szCs w:val="16"/>
          <w:lang w:eastAsia="es-ES"/>
        </w:rPr>
      </w:pPr>
    </w:p>
    <w:p w14:paraId="092DA343"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Actividad: </w:t>
      </w:r>
      <w:r w:rsidRPr="00D35B0C">
        <w:rPr>
          <w:rFonts w:ascii="Arial" w:eastAsia="Times New Roman" w:hAnsi="Arial" w:cs="Arial"/>
          <w:sz w:val="18"/>
          <w:szCs w:val="18"/>
          <w:lang w:eastAsia="es-ES"/>
        </w:rPr>
        <w:t>Es un producto, línea, ramo, unidad de negocio, entidad subordinada o proceso que desarrolla la entidad para llevar a cabo su plan de negocio.</w:t>
      </w:r>
    </w:p>
    <w:p w14:paraId="36DCF484" w14:textId="77777777" w:rsidR="00D35B0C" w:rsidRPr="00D35B0C" w:rsidRDefault="00D35B0C" w:rsidP="00D35B0C">
      <w:pPr>
        <w:tabs>
          <w:tab w:val="left" w:pos="426"/>
        </w:tabs>
        <w:spacing w:after="0" w:line="240" w:lineRule="auto"/>
        <w:jc w:val="both"/>
        <w:rPr>
          <w:rFonts w:ascii="Arial" w:eastAsia="Times New Roman" w:hAnsi="Arial" w:cs="Arial"/>
          <w:b/>
          <w:sz w:val="16"/>
          <w:szCs w:val="16"/>
          <w:lang w:eastAsia="es-ES"/>
        </w:rPr>
      </w:pPr>
    </w:p>
    <w:p w14:paraId="559D481D"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Actividad significativa: </w:t>
      </w:r>
      <w:r w:rsidRPr="00D35B0C">
        <w:rPr>
          <w:rFonts w:ascii="Arial" w:eastAsia="Times New Roman" w:hAnsi="Arial" w:cs="Arial"/>
          <w:sz w:val="18"/>
          <w:szCs w:val="18"/>
          <w:lang w:eastAsia="es-ES"/>
        </w:rPr>
        <w:t>Es un producto, línea, ramo, unidad de negocio, entidad subordinada o proceso que es fundamental para que la entidad lleve a cabo su plan de negocio y para que alcance sus objetivos principales.</w:t>
      </w:r>
    </w:p>
    <w:p w14:paraId="0DE46A6A" w14:textId="77777777" w:rsidR="00D35B0C" w:rsidRPr="00D35B0C" w:rsidRDefault="00D35B0C" w:rsidP="00D35B0C">
      <w:pPr>
        <w:tabs>
          <w:tab w:val="left" w:pos="426"/>
        </w:tabs>
        <w:spacing w:after="0" w:line="240" w:lineRule="auto"/>
        <w:jc w:val="both"/>
        <w:rPr>
          <w:rFonts w:ascii="Arial" w:eastAsia="Times New Roman" w:hAnsi="Arial" w:cs="Arial"/>
          <w:sz w:val="16"/>
          <w:szCs w:val="16"/>
          <w:lang w:eastAsia="es-ES"/>
        </w:rPr>
      </w:pPr>
    </w:p>
    <w:p w14:paraId="0ED30AE0"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Alta gerencia (AG): </w:t>
      </w:r>
      <w:r w:rsidRPr="00D35B0C">
        <w:rPr>
          <w:rFonts w:ascii="Arial" w:eastAsia="Times New Roman" w:hAnsi="Arial" w:cs="Arial"/>
          <w:sz w:val="18"/>
          <w:szCs w:val="18"/>
          <w:lang w:eastAsia="es-ES"/>
        </w:rPr>
        <w:t xml:space="preserve">Es el grupo de personas responsables de la gestión de los riesgos y quienes reportan directamente a la JD y/o al representante legal, incluido este último. </w:t>
      </w:r>
    </w:p>
    <w:p w14:paraId="5154E6DA" w14:textId="77777777" w:rsidR="00D35B0C" w:rsidRPr="00D35B0C" w:rsidRDefault="00D35B0C" w:rsidP="00D35B0C">
      <w:pPr>
        <w:tabs>
          <w:tab w:val="left" w:pos="426"/>
        </w:tabs>
        <w:spacing w:after="0" w:line="240" w:lineRule="auto"/>
        <w:jc w:val="both"/>
        <w:rPr>
          <w:rFonts w:ascii="Arial" w:eastAsia="Times New Roman" w:hAnsi="Arial" w:cs="Arial"/>
          <w:sz w:val="16"/>
          <w:szCs w:val="16"/>
          <w:lang w:eastAsia="es-ES"/>
        </w:rPr>
      </w:pPr>
    </w:p>
    <w:p w14:paraId="41290ADE"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sz w:val="18"/>
          <w:szCs w:val="18"/>
          <w:lang w:eastAsia="es-ES"/>
        </w:rPr>
        <w:t>La AG bajo la dirección y supervisión de la JD es responsable de dirigir, ejecutar y supervisar las operaciones de la entidad, de manera consistente con el plan de negocio, apetito de riesgo y demás políticas.</w:t>
      </w:r>
    </w:p>
    <w:p w14:paraId="5E92C009" w14:textId="77777777" w:rsidR="00D35B0C" w:rsidRPr="00D35B0C" w:rsidRDefault="00D35B0C" w:rsidP="00D35B0C">
      <w:pPr>
        <w:tabs>
          <w:tab w:val="left" w:pos="426"/>
        </w:tabs>
        <w:spacing w:after="0" w:line="240" w:lineRule="auto"/>
        <w:jc w:val="both"/>
        <w:rPr>
          <w:rFonts w:ascii="Arial" w:eastAsia="Times New Roman" w:hAnsi="Arial" w:cs="Arial"/>
          <w:sz w:val="16"/>
          <w:szCs w:val="16"/>
          <w:lang w:eastAsia="es-ES"/>
        </w:rPr>
      </w:pPr>
    </w:p>
    <w:p w14:paraId="3EDE0DDC"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val="es-ES" w:eastAsia="es-ES"/>
        </w:rPr>
      </w:pPr>
      <w:r w:rsidRPr="00D35B0C">
        <w:rPr>
          <w:rFonts w:ascii="Arial" w:eastAsia="Times New Roman" w:hAnsi="Arial" w:cs="Arial"/>
          <w:b/>
          <w:sz w:val="18"/>
          <w:szCs w:val="18"/>
          <w:lang w:eastAsia="es-ES"/>
        </w:rPr>
        <w:t>Apetito al riesgo:</w:t>
      </w:r>
      <w:r w:rsidRPr="00D35B0C">
        <w:rPr>
          <w:rFonts w:ascii="Arial" w:eastAsia="Times New Roman" w:hAnsi="Arial" w:cs="Arial"/>
          <w:sz w:val="18"/>
          <w:szCs w:val="18"/>
          <w:lang w:eastAsia="es-ES"/>
        </w:rPr>
        <w:t xml:space="preserve"> El o los niveles y tipos de riesgos que la entidad está dispuesta a asumir </w:t>
      </w:r>
      <w:r w:rsidRPr="00D35B0C">
        <w:rPr>
          <w:rFonts w:ascii="Arial" w:eastAsia="Times New Roman" w:hAnsi="Arial" w:cs="Arial"/>
          <w:sz w:val="18"/>
          <w:szCs w:val="18"/>
          <w:lang w:val="es-ES" w:eastAsia="es-ES"/>
        </w:rPr>
        <w:t>con el fin de cumplir con su plan de negocio.</w:t>
      </w:r>
    </w:p>
    <w:p w14:paraId="67C67CAC" w14:textId="77777777" w:rsidR="00D35B0C" w:rsidRPr="00D35B0C" w:rsidRDefault="00D35B0C" w:rsidP="00D35B0C">
      <w:pPr>
        <w:tabs>
          <w:tab w:val="left" w:pos="426"/>
        </w:tabs>
        <w:spacing w:after="0" w:line="240" w:lineRule="auto"/>
        <w:jc w:val="both"/>
        <w:rPr>
          <w:rFonts w:ascii="Arial" w:eastAsia="Times New Roman" w:hAnsi="Arial" w:cs="Arial"/>
          <w:b/>
          <w:sz w:val="16"/>
          <w:szCs w:val="16"/>
          <w:lang w:eastAsia="es-ES"/>
        </w:rPr>
      </w:pPr>
    </w:p>
    <w:p w14:paraId="44A9C4D3"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i/>
          <w:sz w:val="18"/>
          <w:szCs w:val="18"/>
          <w:lang w:eastAsia="es-ES"/>
        </w:rPr>
        <w:t>Back office</w:t>
      </w:r>
      <w:r w:rsidRPr="00D35B0C">
        <w:rPr>
          <w:rFonts w:ascii="Arial" w:eastAsia="Times New Roman" w:hAnsi="Arial" w:cs="Arial"/>
          <w:b/>
          <w:sz w:val="18"/>
          <w:szCs w:val="18"/>
          <w:lang w:eastAsia="es-ES"/>
        </w:rPr>
        <w:t>:</w:t>
      </w:r>
      <w:r w:rsidRPr="00D35B0C">
        <w:rPr>
          <w:rFonts w:ascii="Arial" w:eastAsia="Times New Roman" w:hAnsi="Arial" w:cs="Arial"/>
          <w:sz w:val="18"/>
          <w:szCs w:val="18"/>
          <w:lang w:eastAsia="es-ES"/>
        </w:rPr>
        <w:t xml:space="preserve"> Es el área encargada de realizar los aspectos operativos de la tesorería, en particular, el cierre y registro contable y la autorización final de las operaciones; es decir, es el área encargada de la complementación y del cumplimiento de las operaciones.</w:t>
      </w:r>
    </w:p>
    <w:p w14:paraId="68406B79" w14:textId="77777777" w:rsidR="00223661" w:rsidRPr="00D35B0C" w:rsidRDefault="00223661" w:rsidP="00D35B0C">
      <w:pPr>
        <w:spacing w:after="0" w:line="240" w:lineRule="auto"/>
        <w:jc w:val="both"/>
        <w:rPr>
          <w:rFonts w:ascii="Arial" w:eastAsia="Times New Roman" w:hAnsi="Arial" w:cs="Arial"/>
          <w:b/>
          <w:sz w:val="16"/>
          <w:szCs w:val="16"/>
          <w:lang w:eastAsia="es-ES"/>
        </w:rPr>
      </w:pPr>
    </w:p>
    <w:p w14:paraId="1024634B" w14:textId="77777777" w:rsidR="00D35B0C" w:rsidRPr="00D35B0C" w:rsidRDefault="00D35B0C" w:rsidP="00D35B0C">
      <w:pPr>
        <w:tabs>
          <w:tab w:val="left" w:pos="426"/>
        </w:tabs>
        <w:spacing w:after="0" w:line="240" w:lineRule="auto"/>
        <w:jc w:val="both"/>
        <w:rPr>
          <w:rFonts w:ascii="Arial" w:eastAsia="Times New Roman" w:hAnsi="Arial" w:cs="Arial"/>
          <w:b/>
          <w:sz w:val="18"/>
          <w:szCs w:val="18"/>
          <w:lang w:eastAsia="es-ES"/>
        </w:rPr>
      </w:pPr>
      <w:r w:rsidRPr="00D35B0C">
        <w:rPr>
          <w:rFonts w:ascii="Arial" w:eastAsia="Times New Roman" w:hAnsi="Arial" w:cs="Arial"/>
          <w:b/>
          <w:sz w:val="18"/>
          <w:szCs w:val="18"/>
          <w:lang w:eastAsia="es-ES"/>
        </w:rPr>
        <w:t xml:space="preserve">Capacidad de riesgo: </w:t>
      </w:r>
      <w:r w:rsidRPr="00D35B0C">
        <w:rPr>
          <w:rFonts w:ascii="Arial" w:eastAsia="Times New Roman" w:hAnsi="Arial" w:cs="Arial"/>
          <w:sz w:val="18"/>
          <w:szCs w:val="18"/>
          <w:lang w:eastAsia="es-ES"/>
        </w:rPr>
        <w:t>El nivel máximo de riesgo que una entidad puede asumir dado su nivel actual de recursos antes de incumplir los controles de ley, los límites de liquidez, y/o comprometer la continuidad del negocio.</w:t>
      </w:r>
    </w:p>
    <w:p w14:paraId="5675170E" w14:textId="77777777" w:rsidR="00223661" w:rsidRPr="00D35B0C" w:rsidRDefault="00223661" w:rsidP="00D35B0C">
      <w:pPr>
        <w:spacing w:after="0" w:line="240" w:lineRule="auto"/>
        <w:jc w:val="both"/>
        <w:rPr>
          <w:rFonts w:ascii="Arial" w:eastAsia="Times New Roman" w:hAnsi="Arial" w:cs="Arial"/>
          <w:b/>
          <w:sz w:val="16"/>
          <w:szCs w:val="16"/>
          <w:lang w:eastAsia="es-ES"/>
        </w:rPr>
      </w:pPr>
    </w:p>
    <w:p w14:paraId="66827D1E" w14:textId="24B2DB43" w:rsid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Consumidor financiero:</w:t>
      </w:r>
      <w:r w:rsidRPr="00D35B0C">
        <w:rPr>
          <w:rFonts w:ascii="Arial" w:eastAsia="Times New Roman" w:hAnsi="Arial" w:cs="Arial"/>
          <w:sz w:val="18"/>
          <w:szCs w:val="18"/>
          <w:lang w:eastAsia="es-ES"/>
        </w:rPr>
        <w:t xml:space="preserve"> Es todo cliente, usuario o cliente potencial de las entidades vigiladas, en los términos del art. 2 de la Ley 1328 de 2009.</w:t>
      </w:r>
    </w:p>
    <w:p w14:paraId="3706E840" w14:textId="0404C129" w:rsidR="00D35B0C" w:rsidRPr="00D35B0C" w:rsidRDefault="00D35B0C" w:rsidP="005B7D1F">
      <w:pPr>
        <w:tabs>
          <w:tab w:val="left" w:pos="426"/>
        </w:tabs>
        <w:spacing w:after="0" w:line="240" w:lineRule="auto"/>
        <w:jc w:val="both"/>
        <w:rPr>
          <w:rFonts w:ascii="Arial" w:eastAsia="Times New Roman" w:hAnsi="Arial" w:cs="Arial"/>
          <w:b/>
          <w:bCs/>
          <w:sz w:val="18"/>
          <w:szCs w:val="18"/>
          <w:lang w:eastAsia="es-ES"/>
        </w:rPr>
      </w:pPr>
    </w:p>
    <w:p w14:paraId="1F08BEDC"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Cultura de riesgo: </w:t>
      </w:r>
      <w:r w:rsidRPr="00D35B0C">
        <w:rPr>
          <w:rFonts w:ascii="Arial" w:eastAsia="Times New Roman" w:hAnsi="Arial" w:cs="Arial"/>
          <w:sz w:val="18"/>
          <w:szCs w:val="18"/>
          <w:lang w:eastAsia="es-ES"/>
        </w:rPr>
        <w:t>Es un conjunto de actitudes, valores, normas, pautas y sanciones para un comportamiento responsable a partir del cual los miembros de una entidad comprenden, asumen, gestionan y debaten los riesgos inherentes de las actividades que desarrolla la entidad y son responsables de actuar y tomar decisiones dentro del marco de apetito de riesgo y los límites establecidos para la asunción de los riesgos.</w:t>
      </w:r>
    </w:p>
    <w:p w14:paraId="2D8ECF12" w14:textId="11C92851" w:rsidR="00D35B0C" w:rsidRDefault="00D35B0C" w:rsidP="00EC5E0E">
      <w:pPr>
        <w:tabs>
          <w:tab w:val="left" w:pos="426"/>
        </w:tabs>
        <w:spacing w:after="0" w:line="240" w:lineRule="auto"/>
        <w:jc w:val="both"/>
        <w:rPr>
          <w:rFonts w:ascii="Arial" w:eastAsia="Times New Roman" w:hAnsi="Arial" w:cs="Arial"/>
          <w:sz w:val="16"/>
          <w:szCs w:val="16"/>
          <w:lang w:val="es-ES" w:eastAsia="es-ES"/>
        </w:rPr>
      </w:pPr>
    </w:p>
    <w:p w14:paraId="154ABF66" w14:textId="0F2D84A7" w:rsidR="00A66AFD" w:rsidRDefault="00A66AFD" w:rsidP="004E4414">
      <w:pPr>
        <w:pBdr>
          <w:left w:val="single" w:sz="4" w:space="4" w:color="auto"/>
        </w:pBdr>
        <w:jc w:val="both"/>
        <w:rPr>
          <w:rFonts w:ascii="Arial" w:hAnsi="Arial" w:cs="Arial"/>
          <w:b/>
          <w:bCs/>
          <w:sz w:val="18"/>
          <w:szCs w:val="18"/>
        </w:rPr>
      </w:pPr>
      <w:r w:rsidRPr="00A66AFD">
        <w:rPr>
          <w:rFonts w:ascii="Arial" w:hAnsi="Arial" w:cs="Arial"/>
          <w:b/>
          <w:bCs/>
          <w:sz w:val="18"/>
          <w:szCs w:val="18"/>
        </w:rPr>
        <w:t>CVA (</w:t>
      </w:r>
      <w:r w:rsidRPr="00A66AFD">
        <w:rPr>
          <w:rFonts w:ascii="Arial" w:hAnsi="Arial" w:cs="Arial"/>
          <w:b/>
          <w:bCs/>
          <w:i/>
          <w:iCs/>
          <w:sz w:val="18"/>
          <w:szCs w:val="18"/>
        </w:rPr>
        <w:t>Credit Valuation Adjustment</w:t>
      </w:r>
      <w:r w:rsidRPr="00A66AFD">
        <w:rPr>
          <w:rFonts w:ascii="Arial" w:hAnsi="Arial" w:cs="Arial"/>
          <w:b/>
          <w:bCs/>
          <w:sz w:val="18"/>
          <w:szCs w:val="18"/>
        </w:rPr>
        <w:t xml:space="preserve">): Es el ajuste de valoración en una exposición generado por cambios en el riesgo de contraparte asociado a una operación. </w:t>
      </w:r>
    </w:p>
    <w:p w14:paraId="6046B2CA" w14:textId="55E61FA1" w:rsidR="00F9367A" w:rsidRPr="00D35B0C" w:rsidRDefault="00F9367A" w:rsidP="26E3A651">
      <w:pPr>
        <w:pBdr>
          <w:left w:val="single" w:sz="4" w:space="4" w:color="auto"/>
        </w:pBdr>
        <w:jc w:val="both"/>
        <w:rPr>
          <w:rFonts w:ascii="Arial" w:hAnsi="Arial" w:cs="Arial"/>
          <w:b/>
          <w:bCs/>
          <w:sz w:val="18"/>
          <w:szCs w:val="18"/>
        </w:rPr>
      </w:pPr>
      <w:r w:rsidRPr="26E3A651">
        <w:rPr>
          <w:rFonts w:ascii="Arial" w:hAnsi="Arial" w:cs="Arial"/>
          <w:b/>
          <w:bCs/>
          <w:sz w:val="18"/>
          <w:szCs w:val="18"/>
        </w:rPr>
        <w:t>DVA (</w:t>
      </w:r>
      <w:r w:rsidRPr="002164F9">
        <w:rPr>
          <w:rFonts w:ascii="Arial" w:hAnsi="Arial" w:cs="Arial"/>
          <w:b/>
          <w:bCs/>
          <w:i/>
          <w:iCs/>
          <w:sz w:val="18"/>
          <w:szCs w:val="18"/>
        </w:rPr>
        <w:t>Debit Valuation Adjustment</w:t>
      </w:r>
      <w:r w:rsidRPr="26E3A651">
        <w:rPr>
          <w:rFonts w:ascii="Arial" w:hAnsi="Arial" w:cs="Arial"/>
          <w:b/>
          <w:bCs/>
          <w:sz w:val="18"/>
          <w:szCs w:val="18"/>
        </w:rPr>
        <w:t xml:space="preserve">): Es el ajuste de valoración en una exposición generado por cambios en el riesgo de contraparte propio. </w:t>
      </w:r>
    </w:p>
    <w:p w14:paraId="5AAAB483" w14:textId="77777777" w:rsidR="00D35B0C" w:rsidRPr="00D35B0C" w:rsidRDefault="00D35B0C" w:rsidP="00D35B0C">
      <w:pPr>
        <w:spacing w:after="0" w:line="240" w:lineRule="auto"/>
        <w:jc w:val="both"/>
        <w:rPr>
          <w:rFonts w:ascii="Arial" w:eastAsia="Times New Roman" w:hAnsi="Arial" w:cs="Arial"/>
          <w:sz w:val="18"/>
          <w:szCs w:val="18"/>
          <w:lang w:val="es-ES" w:eastAsia="es-ES"/>
        </w:rPr>
      </w:pPr>
      <w:r w:rsidRPr="00D35B0C">
        <w:rPr>
          <w:rFonts w:ascii="Arial" w:eastAsia="Times New Roman" w:hAnsi="Arial" w:cs="Arial"/>
          <w:b/>
          <w:sz w:val="18"/>
          <w:szCs w:val="18"/>
          <w:lang w:val="es-ES" w:eastAsia="es-ES"/>
        </w:rPr>
        <w:t xml:space="preserve">Entidad: </w:t>
      </w:r>
      <w:r w:rsidRPr="00D35B0C">
        <w:rPr>
          <w:rFonts w:ascii="Arial" w:eastAsia="Times New Roman" w:hAnsi="Arial" w:cs="Arial"/>
          <w:sz w:val="18"/>
          <w:szCs w:val="18"/>
          <w:lang w:val="es-ES" w:eastAsia="es-ES"/>
        </w:rPr>
        <w:t xml:space="preserve">Aquella entidad vigilada por la SFC a la que le aplica la disposición en la cual se usa el término, excepto los holdings financieros a las que se refiere la Ley 1870 de 2017. Adicionalmente cuando se hable de entidad se entiende que se hace referencia de manera individual y consolidada. </w:t>
      </w:r>
    </w:p>
    <w:p w14:paraId="61DBF0A9" w14:textId="77777777" w:rsidR="00D35B0C" w:rsidRPr="00D35B0C" w:rsidRDefault="00D35B0C" w:rsidP="00D35B0C">
      <w:pPr>
        <w:spacing w:after="0" w:line="240" w:lineRule="auto"/>
        <w:jc w:val="both"/>
        <w:rPr>
          <w:rFonts w:ascii="Arial" w:eastAsia="Times New Roman" w:hAnsi="Arial" w:cs="Arial"/>
          <w:b/>
          <w:sz w:val="16"/>
          <w:szCs w:val="16"/>
          <w:lang w:val="es-ES" w:eastAsia="es-ES"/>
        </w:rPr>
      </w:pPr>
    </w:p>
    <w:p w14:paraId="4DAC72E3" w14:textId="77777777" w:rsidR="00D35B0C" w:rsidRPr="00D35B0C" w:rsidRDefault="00D35B0C" w:rsidP="00D35B0C">
      <w:pPr>
        <w:tabs>
          <w:tab w:val="left" w:pos="426"/>
        </w:tabs>
        <w:spacing w:after="0" w:line="240" w:lineRule="auto"/>
        <w:jc w:val="both"/>
        <w:rPr>
          <w:rFonts w:ascii="Arial" w:eastAsia="Times New Roman" w:hAnsi="Arial" w:cs="Arial"/>
          <w:b/>
          <w:sz w:val="18"/>
          <w:szCs w:val="18"/>
          <w:lang w:eastAsia="es-ES"/>
        </w:rPr>
      </w:pPr>
      <w:r w:rsidRPr="00D35B0C">
        <w:rPr>
          <w:rFonts w:ascii="Arial" w:eastAsia="Times New Roman" w:hAnsi="Arial" w:cs="Arial"/>
          <w:b/>
          <w:sz w:val="18"/>
          <w:szCs w:val="18"/>
          <w:lang w:eastAsia="es-ES"/>
        </w:rPr>
        <w:t>Estructura de gobierno de riesgos:</w:t>
      </w:r>
      <w:r w:rsidRPr="00D35B0C">
        <w:rPr>
          <w:rFonts w:ascii="Arial" w:eastAsia="Times New Roman" w:hAnsi="Arial" w:cs="Arial"/>
          <w:sz w:val="18"/>
          <w:szCs w:val="18"/>
          <w:lang w:eastAsia="es-ES"/>
        </w:rPr>
        <w:t xml:space="preserve"> Es una estructura que le permite a la JD y la AG establecer y tomar decisiones sobre la estrategia y aproximación al riesgo, articular y monitorear la adherencia de riesgo al plan de negocio, e identifican, miden, controlan y monitorean los riesgos.</w:t>
      </w:r>
    </w:p>
    <w:p w14:paraId="6BC05317" w14:textId="77777777" w:rsidR="00D35B0C" w:rsidRPr="00D35B0C" w:rsidRDefault="00D35B0C" w:rsidP="00D35B0C">
      <w:pPr>
        <w:spacing w:after="0" w:line="240" w:lineRule="auto"/>
        <w:jc w:val="both"/>
        <w:rPr>
          <w:rFonts w:ascii="Arial" w:eastAsia="Times New Roman" w:hAnsi="Arial" w:cs="Arial"/>
          <w:b/>
          <w:sz w:val="16"/>
          <w:szCs w:val="16"/>
          <w:lang w:val="es-ES" w:eastAsia="es-ES"/>
        </w:rPr>
      </w:pPr>
    </w:p>
    <w:p w14:paraId="4C409762"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val="es-ES" w:eastAsia="es-ES"/>
        </w:rPr>
      </w:pPr>
      <w:r w:rsidRPr="00D35B0C">
        <w:rPr>
          <w:rFonts w:ascii="Arial" w:eastAsia="Times New Roman" w:hAnsi="Arial" w:cs="Arial"/>
          <w:b/>
          <w:sz w:val="18"/>
          <w:szCs w:val="18"/>
          <w:lang w:eastAsia="es-ES"/>
        </w:rPr>
        <w:t xml:space="preserve">Evaluación integral de los riesgos: </w:t>
      </w:r>
      <w:r w:rsidRPr="00D35B0C">
        <w:rPr>
          <w:rFonts w:ascii="Arial" w:eastAsia="Times New Roman" w:hAnsi="Arial" w:cs="Arial"/>
          <w:sz w:val="18"/>
          <w:szCs w:val="18"/>
          <w:lang w:eastAsia="es-ES"/>
        </w:rPr>
        <w:t xml:space="preserve">Evaluación comprensiva y conjunta de los riesgos, incluyendo las relaciones entre los mismos, sin perjuicio de las diferencias propias de cada tipo de riesgo y su gestión.  </w:t>
      </w:r>
    </w:p>
    <w:p w14:paraId="64FC7885" w14:textId="77777777" w:rsidR="00D35B0C" w:rsidRPr="00D35B0C" w:rsidRDefault="00D35B0C" w:rsidP="00D35B0C">
      <w:pPr>
        <w:spacing w:after="0" w:line="240" w:lineRule="auto"/>
        <w:jc w:val="both"/>
        <w:rPr>
          <w:rFonts w:ascii="Arial" w:eastAsia="Times New Roman" w:hAnsi="Arial" w:cs="Arial"/>
          <w:b/>
          <w:sz w:val="16"/>
          <w:szCs w:val="16"/>
          <w:lang w:val="es-ES" w:eastAsia="es-ES"/>
        </w:rPr>
      </w:pPr>
    </w:p>
    <w:p w14:paraId="44A87210" w14:textId="77777777" w:rsidR="00D35B0C" w:rsidRPr="00D35B0C" w:rsidRDefault="00D35B0C" w:rsidP="00D35B0C">
      <w:pPr>
        <w:spacing w:after="0" w:line="240" w:lineRule="auto"/>
        <w:jc w:val="both"/>
        <w:rPr>
          <w:rFonts w:ascii="Arial" w:eastAsia="Times New Roman" w:hAnsi="Arial" w:cs="Arial"/>
          <w:sz w:val="18"/>
          <w:szCs w:val="18"/>
          <w:lang w:val="es-ES" w:eastAsia="es-ES"/>
        </w:rPr>
      </w:pPr>
      <w:r w:rsidRPr="00D35B0C">
        <w:rPr>
          <w:rFonts w:ascii="Arial" w:eastAsia="Times New Roman" w:hAnsi="Arial" w:cs="Arial"/>
          <w:b/>
          <w:sz w:val="18"/>
          <w:szCs w:val="18"/>
          <w:lang w:val="es-ES" w:eastAsia="es-ES"/>
        </w:rPr>
        <w:t>Evento:</w:t>
      </w:r>
      <w:r w:rsidRPr="00D35B0C">
        <w:rPr>
          <w:rFonts w:ascii="Arial" w:eastAsia="Times New Roman" w:hAnsi="Arial" w:cs="Arial"/>
          <w:sz w:val="18"/>
          <w:szCs w:val="18"/>
          <w:lang w:val="es-ES" w:eastAsia="es-ES"/>
        </w:rPr>
        <w:t xml:space="preserve"> Hecho o cambio que puede afectar el logro de los objetivos de la entidad.</w:t>
      </w:r>
    </w:p>
    <w:p w14:paraId="0D2CB14C" w14:textId="77777777" w:rsidR="00D35B0C" w:rsidRPr="00D35B0C" w:rsidRDefault="00D35B0C" w:rsidP="00D35B0C">
      <w:pPr>
        <w:spacing w:after="0" w:line="240" w:lineRule="auto"/>
        <w:jc w:val="both"/>
        <w:rPr>
          <w:rFonts w:ascii="Arial" w:eastAsia="Times New Roman" w:hAnsi="Arial" w:cs="Arial"/>
          <w:b/>
          <w:sz w:val="16"/>
          <w:szCs w:val="16"/>
          <w:lang w:val="es-ES" w:eastAsia="es-ES"/>
        </w:rPr>
      </w:pPr>
    </w:p>
    <w:p w14:paraId="7CCAC0BC" w14:textId="77777777" w:rsidR="00DA188F" w:rsidRDefault="00D35B0C" w:rsidP="00D35B0C">
      <w:pPr>
        <w:spacing w:after="0" w:line="240" w:lineRule="auto"/>
        <w:jc w:val="both"/>
        <w:rPr>
          <w:rFonts w:ascii="Arial" w:eastAsia="Times New Roman" w:hAnsi="Arial" w:cs="Arial"/>
          <w:sz w:val="18"/>
          <w:szCs w:val="18"/>
          <w:lang w:val="es-ES" w:eastAsia="es-ES"/>
        </w:rPr>
      </w:pPr>
      <w:r w:rsidRPr="00D35B0C">
        <w:rPr>
          <w:rFonts w:ascii="Arial" w:eastAsia="Times New Roman" w:hAnsi="Arial" w:cs="Arial"/>
          <w:b/>
          <w:sz w:val="18"/>
          <w:szCs w:val="18"/>
          <w:lang w:val="es-ES" w:eastAsia="es-ES"/>
        </w:rPr>
        <w:t xml:space="preserve">Evento de riesgo operacional: </w:t>
      </w:r>
      <w:r w:rsidRPr="00D35B0C">
        <w:rPr>
          <w:rFonts w:ascii="Arial" w:eastAsia="Times New Roman" w:hAnsi="Arial" w:cs="Arial"/>
          <w:sz w:val="18"/>
          <w:szCs w:val="18"/>
          <w:lang w:val="es-ES" w:eastAsia="es-ES"/>
        </w:rPr>
        <w:t>Es aquel hecho o cambio que puede generar pérdidas a la entidad por riesgo operacional</w:t>
      </w:r>
    </w:p>
    <w:p w14:paraId="6D378ABC" w14:textId="77777777" w:rsidR="00DA188F" w:rsidRDefault="00DA188F" w:rsidP="00D35B0C">
      <w:pPr>
        <w:spacing w:after="0" w:line="240" w:lineRule="auto"/>
        <w:jc w:val="both"/>
        <w:rPr>
          <w:rFonts w:ascii="Arial" w:eastAsia="Times New Roman" w:hAnsi="Arial" w:cs="Arial"/>
          <w:sz w:val="18"/>
          <w:szCs w:val="18"/>
          <w:lang w:val="es-ES" w:eastAsia="es-ES"/>
        </w:rPr>
      </w:pPr>
    </w:p>
    <w:p w14:paraId="3099262D" w14:textId="77777777" w:rsidR="00DA188F" w:rsidRPr="00D35B0C" w:rsidRDefault="00DA188F" w:rsidP="00DA188F">
      <w:pPr>
        <w:tabs>
          <w:tab w:val="left" w:pos="540"/>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Factores de riesgo:</w:t>
      </w:r>
      <w:r w:rsidRPr="00D35B0C">
        <w:rPr>
          <w:rFonts w:ascii="Arial" w:eastAsia="Times New Roman" w:hAnsi="Arial" w:cs="Arial"/>
          <w:sz w:val="18"/>
          <w:szCs w:val="18"/>
          <w:lang w:eastAsia="es-ES"/>
        </w:rPr>
        <w:t xml:space="preserve"> Se entiende por factores de riesgo las fuentes generadoras de los mismos, que pueden o no generar pérdidas. Son factores de riesgo el recurso humano, los procesos, la tecnología, la infraestructura y los acontecimientos externos. Dichos factores se deben clasificar en internos o externos.</w:t>
      </w:r>
    </w:p>
    <w:p w14:paraId="7E5A6AAE" w14:textId="77777777" w:rsidR="00DA188F" w:rsidRPr="00317408" w:rsidRDefault="00DA188F" w:rsidP="00DA188F">
      <w:pPr>
        <w:tabs>
          <w:tab w:val="left" w:pos="426"/>
        </w:tabs>
        <w:spacing w:after="0" w:line="240" w:lineRule="auto"/>
        <w:jc w:val="both"/>
        <w:rPr>
          <w:rFonts w:ascii="Arial" w:eastAsia="Times New Roman" w:hAnsi="Arial" w:cs="Arial"/>
          <w:b/>
          <w:sz w:val="12"/>
          <w:szCs w:val="12"/>
          <w:lang w:eastAsia="es-ES"/>
        </w:rPr>
      </w:pPr>
    </w:p>
    <w:p w14:paraId="6DBB8959" w14:textId="77777777" w:rsidR="00DA188F" w:rsidRDefault="00DA188F" w:rsidP="00DA188F">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i/>
          <w:sz w:val="18"/>
          <w:szCs w:val="18"/>
          <w:lang w:eastAsia="es-ES"/>
        </w:rPr>
        <w:t>Front office</w:t>
      </w:r>
      <w:r w:rsidRPr="00D35B0C">
        <w:rPr>
          <w:rFonts w:ascii="Arial" w:eastAsia="Times New Roman" w:hAnsi="Arial" w:cs="Arial"/>
          <w:b/>
          <w:sz w:val="18"/>
          <w:szCs w:val="18"/>
          <w:lang w:eastAsia="es-ES"/>
        </w:rPr>
        <w:t>:</w:t>
      </w:r>
      <w:r w:rsidRPr="00D35B0C">
        <w:rPr>
          <w:rFonts w:ascii="Arial" w:eastAsia="Times New Roman" w:hAnsi="Arial" w:cs="Arial"/>
          <w:sz w:val="18"/>
          <w:szCs w:val="18"/>
          <w:lang w:eastAsia="es-ES"/>
        </w:rPr>
        <w:t xml:space="preserve"> Es el área encargada de la negociación de valores, del cierre y registro en los sistemas de negociación, de las relaciones con los clientes y/o de los aspectos comerciales de la tesorería.</w:t>
      </w:r>
    </w:p>
    <w:p w14:paraId="6DB47C7C" w14:textId="77777777" w:rsidR="00DA188F" w:rsidRPr="005B7D1F" w:rsidRDefault="00DA188F" w:rsidP="00D35B0C">
      <w:pPr>
        <w:spacing w:after="0" w:line="240" w:lineRule="auto"/>
        <w:jc w:val="both"/>
        <w:rPr>
          <w:rFonts w:ascii="Arial" w:eastAsia="Times New Roman" w:hAnsi="Arial" w:cs="Arial"/>
          <w:sz w:val="18"/>
          <w:szCs w:val="18"/>
          <w:lang w:eastAsia="es-ES"/>
        </w:rPr>
      </w:pPr>
    </w:p>
    <w:p w14:paraId="3D0E078A" w14:textId="7B7D6400" w:rsidR="00F41E33" w:rsidRDefault="00F41E33" w:rsidP="00D35B0C">
      <w:pPr>
        <w:spacing w:after="0" w:line="240" w:lineRule="auto"/>
        <w:jc w:val="both"/>
        <w:rPr>
          <w:rFonts w:ascii="Arial" w:eastAsia="Times New Roman" w:hAnsi="Arial" w:cs="Arial"/>
          <w:sz w:val="18"/>
          <w:szCs w:val="18"/>
          <w:lang w:val="es-ES" w:eastAsia="es-ES"/>
        </w:rPr>
        <w:sectPr w:rsidR="00F41E33" w:rsidSect="00353037">
          <w:headerReference w:type="default" r:id="rId21"/>
          <w:pgSz w:w="12240" w:h="18720" w:code="148"/>
          <w:pgMar w:top="1418" w:right="1701" w:bottom="1418" w:left="1701" w:header="1134" w:footer="1134" w:gutter="0"/>
          <w:cols w:space="708"/>
          <w:docGrid w:linePitch="360"/>
        </w:sectPr>
      </w:pPr>
    </w:p>
    <w:p w14:paraId="269291B6" w14:textId="77777777" w:rsidR="00D35B0C" w:rsidRPr="00D35B0C" w:rsidRDefault="00D35B0C" w:rsidP="00982A4B">
      <w:pPr>
        <w:tabs>
          <w:tab w:val="left" w:pos="426"/>
        </w:tabs>
        <w:spacing w:after="0" w:line="240" w:lineRule="auto"/>
        <w:jc w:val="both"/>
        <w:rPr>
          <w:rFonts w:ascii="Arial" w:eastAsia="Times New Roman" w:hAnsi="Arial" w:cs="Arial"/>
          <w:bCs/>
          <w:sz w:val="18"/>
          <w:szCs w:val="18"/>
          <w:lang w:eastAsia="es-ES"/>
        </w:rPr>
      </w:pPr>
      <w:r w:rsidRPr="00D35B0C">
        <w:rPr>
          <w:rFonts w:ascii="Arial" w:eastAsia="Times New Roman" w:hAnsi="Arial" w:cs="Arial"/>
          <w:b/>
          <w:sz w:val="18"/>
          <w:szCs w:val="18"/>
          <w:lang w:eastAsia="es-ES"/>
        </w:rPr>
        <w:lastRenderedPageBreak/>
        <w:t>Libro de tesorería:</w:t>
      </w:r>
      <w:r w:rsidRPr="00D35B0C">
        <w:rPr>
          <w:rFonts w:ascii="Arial" w:eastAsia="Times New Roman" w:hAnsi="Arial" w:cs="Arial"/>
          <w:bCs/>
          <w:sz w:val="18"/>
          <w:szCs w:val="18"/>
          <w:lang w:eastAsia="es-ES"/>
        </w:rPr>
        <w:t xml:space="preserve"> El libro de tesorería está integrado por el conjunto de posiciones, producto de las operaciones de tesorería, que la entidad mantiene con el objetivo de beneficiarse en el corto plazo de las fluctuaciones de los precios de los activos, las inversiones sensibles a fluctuaciones en las variables de mercado, así como las posiciones de cobertura mantenidas en este libro. </w:t>
      </w:r>
    </w:p>
    <w:p w14:paraId="5FECAC83" w14:textId="77777777" w:rsidR="00D35B0C" w:rsidRPr="00317408" w:rsidRDefault="00D35B0C" w:rsidP="00982A4B">
      <w:pPr>
        <w:tabs>
          <w:tab w:val="left" w:pos="426"/>
        </w:tabs>
        <w:spacing w:after="0" w:line="240" w:lineRule="auto"/>
        <w:jc w:val="both"/>
        <w:rPr>
          <w:rFonts w:ascii="Arial" w:eastAsia="Times New Roman" w:hAnsi="Arial" w:cs="Arial"/>
          <w:bCs/>
          <w:sz w:val="12"/>
          <w:szCs w:val="12"/>
          <w:lang w:eastAsia="es-ES"/>
        </w:rPr>
      </w:pPr>
    </w:p>
    <w:p w14:paraId="6E017CAC" w14:textId="3BADA234" w:rsidR="00C63E0D" w:rsidRDefault="00D35B0C" w:rsidP="00C63E0D">
      <w:pPr>
        <w:tabs>
          <w:tab w:val="left" w:pos="426"/>
        </w:tabs>
        <w:spacing w:after="0" w:line="240" w:lineRule="auto"/>
        <w:jc w:val="both"/>
        <w:rPr>
          <w:rFonts w:ascii="Arial" w:eastAsia="Times New Roman" w:hAnsi="Arial" w:cs="Arial"/>
          <w:b/>
          <w:sz w:val="18"/>
          <w:szCs w:val="18"/>
          <w:lang w:eastAsia="es-ES"/>
        </w:rPr>
      </w:pPr>
      <w:r w:rsidRPr="00D35B0C">
        <w:rPr>
          <w:rFonts w:ascii="Arial" w:eastAsia="Times New Roman" w:hAnsi="Arial" w:cs="Arial"/>
          <w:b/>
          <w:sz w:val="18"/>
          <w:szCs w:val="18"/>
          <w:lang w:eastAsia="es-ES"/>
        </w:rPr>
        <w:t>Libro bancario:</w:t>
      </w:r>
      <w:r w:rsidRPr="00D35B0C">
        <w:rPr>
          <w:rFonts w:ascii="Arial" w:eastAsia="Times New Roman" w:hAnsi="Arial" w:cs="Arial"/>
          <w:bCs/>
          <w:sz w:val="18"/>
          <w:szCs w:val="18"/>
          <w:lang w:eastAsia="es-ES"/>
        </w:rPr>
        <w:t xml:space="preserve"> El libro bancario está integrado por (i) cualquier operación que no haga parte de las operaciones del libro de tesorería y (ii) las operaciones designadas como cobertura de las posiciones del libro bancario. Sin perjuicio de lo anterior, para efectos de la estimación del riesgo de mercado se deben incluir en el correspondiente módulo de riesgo, las posiciones en instrumentos financieros derivados que componen el libro bancario a las que hace referencia el Anexo 6 del Capítulo XXXI.</w:t>
      </w:r>
    </w:p>
    <w:p w14:paraId="6AA94444" w14:textId="77777777" w:rsidR="00C63E0D" w:rsidRPr="00317408" w:rsidRDefault="00C63E0D" w:rsidP="00C63E0D">
      <w:pPr>
        <w:tabs>
          <w:tab w:val="left" w:pos="426"/>
        </w:tabs>
        <w:spacing w:after="0" w:line="240" w:lineRule="auto"/>
        <w:jc w:val="both"/>
        <w:rPr>
          <w:rFonts w:ascii="Arial" w:eastAsia="Times New Roman" w:hAnsi="Arial" w:cs="Arial"/>
          <w:b/>
          <w:sz w:val="14"/>
          <w:szCs w:val="14"/>
          <w:lang w:eastAsia="es-ES"/>
        </w:rPr>
      </w:pPr>
    </w:p>
    <w:p w14:paraId="28C43F95" w14:textId="18EA2C11" w:rsidR="00D35B0C" w:rsidRPr="00317408" w:rsidRDefault="00D35B0C" w:rsidP="00317408">
      <w:pPr>
        <w:tabs>
          <w:tab w:val="left" w:pos="426"/>
        </w:tabs>
        <w:spacing w:after="0" w:line="240" w:lineRule="auto"/>
        <w:jc w:val="both"/>
        <w:rPr>
          <w:rFonts w:ascii="Arial" w:eastAsia="Times New Roman" w:hAnsi="Arial" w:cs="Arial"/>
          <w:bCs/>
          <w:sz w:val="18"/>
          <w:szCs w:val="18"/>
          <w:lang w:eastAsia="es-ES"/>
        </w:rPr>
      </w:pPr>
      <w:r w:rsidRPr="00D35B0C">
        <w:rPr>
          <w:rFonts w:ascii="Arial" w:eastAsia="Times New Roman" w:hAnsi="Arial" w:cs="Arial"/>
          <w:b/>
          <w:sz w:val="18"/>
          <w:szCs w:val="18"/>
          <w:lang w:eastAsia="es-ES"/>
        </w:rPr>
        <w:t xml:space="preserve">Margen Neto de Intereses: </w:t>
      </w:r>
      <w:r w:rsidRPr="00317408">
        <w:rPr>
          <w:rFonts w:ascii="Arial" w:eastAsia="Times New Roman" w:hAnsi="Arial" w:cs="Arial"/>
          <w:bCs/>
          <w:sz w:val="18"/>
          <w:szCs w:val="18"/>
          <w:lang w:eastAsia="es-ES"/>
        </w:rPr>
        <w:t>Para efectos del cálculo del RTILB, es la proyección de los ingresos por intereses netos de los gastos por intereses en el horizonte de un año.</w:t>
      </w:r>
    </w:p>
    <w:p w14:paraId="0BC7FC97" w14:textId="77777777" w:rsidR="00D35B0C" w:rsidRPr="00317408" w:rsidRDefault="00D35B0C" w:rsidP="00D35B0C">
      <w:pPr>
        <w:spacing w:after="0" w:line="240" w:lineRule="auto"/>
        <w:jc w:val="both"/>
        <w:rPr>
          <w:rFonts w:ascii="Arial" w:eastAsia="Times New Roman" w:hAnsi="Arial" w:cs="Arial"/>
          <w:b/>
          <w:sz w:val="14"/>
          <w:szCs w:val="14"/>
          <w:lang w:eastAsia="es-ES"/>
        </w:rPr>
      </w:pPr>
    </w:p>
    <w:p w14:paraId="1231EEF2" w14:textId="77777777" w:rsidR="00D35B0C" w:rsidRPr="00D35B0C" w:rsidRDefault="00D35B0C" w:rsidP="00D35B0C">
      <w:pPr>
        <w:spacing w:after="0" w:line="240" w:lineRule="auto"/>
        <w:jc w:val="both"/>
        <w:rPr>
          <w:rFonts w:ascii="Arial" w:eastAsia="Times New Roman" w:hAnsi="Arial" w:cs="Arial"/>
          <w:sz w:val="18"/>
          <w:szCs w:val="18"/>
          <w:lang w:eastAsia="es-ES"/>
        </w:rPr>
      </w:pPr>
      <w:r w:rsidRPr="00D35B0C">
        <w:rPr>
          <w:rFonts w:ascii="Arial" w:eastAsia="Times New Roman" w:hAnsi="Arial" w:cs="Arial"/>
          <w:b/>
          <w:i/>
          <w:sz w:val="18"/>
          <w:szCs w:val="18"/>
          <w:lang w:eastAsia="es-ES"/>
        </w:rPr>
        <w:t>Middle office</w:t>
      </w:r>
      <w:r w:rsidRPr="00D35B0C">
        <w:rPr>
          <w:rFonts w:ascii="Arial" w:eastAsia="Times New Roman" w:hAnsi="Arial" w:cs="Arial"/>
          <w:b/>
          <w:sz w:val="18"/>
          <w:szCs w:val="18"/>
          <w:lang w:eastAsia="es-ES"/>
        </w:rPr>
        <w:t xml:space="preserve">: </w:t>
      </w:r>
      <w:r w:rsidRPr="00D35B0C">
        <w:rPr>
          <w:rFonts w:ascii="Arial" w:eastAsia="Times New Roman" w:hAnsi="Arial" w:cs="Arial"/>
          <w:sz w:val="18"/>
          <w:szCs w:val="18"/>
          <w:lang w:eastAsia="es-ES"/>
        </w:rPr>
        <w:t>Unidad de administración de riesgo.</w:t>
      </w:r>
    </w:p>
    <w:p w14:paraId="20A87556" w14:textId="77777777" w:rsidR="00D35B0C" w:rsidRPr="00317408" w:rsidRDefault="00D35B0C" w:rsidP="00D35B0C">
      <w:pPr>
        <w:spacing w:after="0" w:line="240" w:lineRule="auto"/>
        <w:jc w:val="both"/>
        <w:rPr>
          <w:rFonts w:ascii="Arial" w:eastAsia="Times New Roman" w:hAnsi="Arial" w:cs="Arial"/>
          <w:b/>
          <w:sz w:val="10"/>
          <w:szCs w:val="10"/>
          <w:lang w:eastAsia="es-ES"/>
        </w:rPr>
      </w:pPr>
    </w:p>
    <w:p w14:paraId="79AA194A" w14:textId="1B1B80EE" w:rsidR="00D35B0C" w:rsidRDefault="00D35B0C" w:rsidP="00D35B0C">
      <w:pPr>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Operaciones de tesorería:</w:t>
      </w:r>
      <w:r w:rsidRPr="00D35B0C">
        <w:rPr>
          <w:rFonts w:ascii="Arial" w:eastAsia="Times New Roman" w:hAnsi="Arial" w:cs="Arial"/>
          <w:sz w:val="18"/>
          <w:szCs w:val="18"/>
          <w:lang w:eastAsia="es-ES"/>
        </w:rPr>
        <w:t xml:space="preserve"> Son las operaciones del mercado cambiario, renta fija, renta variable y aquellos valores indexados a una tasa o índice de referencia, excepto las emisiones propias; operaciones del mercado monetario; operaciones con derivados y productos estructurados; y en general cualquier otra que sea realizada a nombre de la entidad o a beneficio de ella o por cuenta de terceros.</w:t>
      </w:r>
    </w:p>
    <w:p w14:paraId="0D991CCE" w14:textId="77777777" w:rsidR="00D35B0C" w:rsidRPr="00D35B0C" w:rsidRDefault="00D35B0C" w:rsidP="00D35B0C">
      <w:pPr>
        <w:tabs>
          <w:tab w:val="left" w:pos="426"/>
        </w:tabs>
        <w:spacing w:after="0" w:line="240" w:lineRule="auto"/>
        <w:jc w:val="both"/>
        <w:rPr>
          <w:rFonts w:ascii="Arial" w:eastAsia="Times New Roman" w:hAnsi="Arial" w:cs="Arial"/>
          <w:b/>
          <w:sz w:val="18"/>
          <w:szCs w:val="18"/>
          <w:lang w:eastAsia="es-ES"/>
        </w:rPr>
      </w:pPr>
    </w:p>
    <w:p w14:paraId="45F2B41F"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Partes relacionadas: </w:t>
      </w:r>
      <w:r w:rsidRPr="00D35B0C">
        <w:rPr>
          <w:rFonts w:ascii="Arial" w:eastAsia="Times New Roman" w:hAnsi="Arial" w:cs="Arial"/>
          <w:sz w:val="18"/>
          <w:szCs w:val="18"/>
          <w:lang w:eastAsia="es-ES"/>
        </w:rPr>
        <w:t>Son las personas naturales o jurídicas que tienen con todas o algunas de las entidades que integran el conglomerado financiero, o con la entidad vigilada individual en caso de que ésta no haga parte de un conglomerado financiero, vínculos de administración, de propiedad directa e indirecta igual o superior al 5% y las sociedades donde cualquiera de las personas enunciadas anteriormente, tenga una participación directa o indirecta igual o superior al 10%.</w:t>
      </w:r>
    </w:p>
    <w:p w14:paraId="0AF4E654" w14:textId="77777777" w:rsidR="00D35B0C" w:rsidRPr="00317408" w:rsidRDefault="00D35B0C" w:rsidP="00D35B0C">
      <w:pPr>
        <w:tabs>
          <w:tab w:val="left" w:pos="426"/>
        </w:tabs>
        <w:spacing w:after="0" w:line="240" w:lineRule="auto"/>
        <w:jc w:val="both"/>
        <w:rPr>
          <w:rFonts w:ascii="Arial" w:eastAsia="Times New Roman" w:hAnsi="Arial" w:cs="Arial"/>
          <w:sz w:val="12"/>
          <w:szCs w:val="12"/>
          <w:lang w:eastAsia="es-ES"/>
        </w:rPr>
      </w:pPr>
    </w:p>
    <w:p w14:paraId="7034C88E"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sz w:val="18"/>
          <w:szCs w:val="18"/>
          <w:lang w:eastAsia="es-ES"/>
        </w:rPr>
        <w:t>Para efectos del cálculo de la participación indirecta se deben tener en cuenta las instrucciones impartidas en el subnumeral 2.3.2.1 del Capítulo XIII-16 de la CBCF.</w:t>
      </w:r>
    </w:p>
    <w:p w14:paraId="33FED796" w14:textId="77777777" w:rsidR="00D35B0C" w:rsidRPr="00317408" w:rsidRDefault="00D35B0C" w:rsidP="00D35B0C">
      <w:pPr>
        <w:tabs>
          <w:tab w:val="left" w:pos="426"/>
        </w:tabs>
        <w:spacing w:after="0" w:line="240" w:lineRule="auto"/>
        <w:jc w:val="both"/>
        <w:rPr>
          <w:rFonts w:ascii="Arial" w:eastAsia="Times New Roman" w:hAnsi="Arial" w:cs="Arial"/>
          <w:sz w:val="12"/>
          <w:szCs w:val="12"/>
          <w:lang w:eastAsia="es-ES"/>
        </w:rPr>
      </w:pPr>
    </w:p>
    <w:p w14:paraId="52A173D3" w14:textId="77777777" w:rsidR="00D35B0C" w:rsidRPr="00D35B0C" w:rsidRDefault="00D35B0C" w:rsidP="00D35B0C">
      <w:pPr>
        <w:tabs>
          <w:tab w:val="left" w:pos="426"/>
        </w:tabs>
        <w:spacing w:after="0" w:line="240" w:lineRule="auto"/>
        <w:jc w:val="both"/>
        <w:rPr>
          <w:rFonts w:ascii="Arial" w:eastAsia="Times New Roman" w:hAnsi="Arial" w:cs="Arial"/>
          <w:bCs/>
          <w:sz w:val="18"/>
          <w:szCs w:val="18"/>
          <w:lang w:eastAsia="es-ES"/>
        </w:rPr>
      </w:pPr>
      <w:r w:rsidRPr="00D35B0C">
        <w:rPr>
          <w:rFonts w:ascii="Arial" w:eastAsia="Times New Roman" w:hAnsi="Arial" w:cs="Arial"/>
          <w:sz w:val="18"/>
          <w:szCs w:val="18"/>
          <w:lang w:eastAsia="es-ES"/>
        </w:rPr>
        <w:t>Las referencias a partes relacionadas en el presente Capítulo se entenderán aplicables a la gestión de riesgo de liquidez.</w:t>
      </w:r>
      <w:r w:rsidRPr="00D35B0C">
        <w:rPr>
          <w:rFonts w:ascii="Arial" w:eastAsia="Times New Roman" w:hAnsi="Arial" w:cs="Arial"/>
          <w:bCs/>
          <w:sz w:val="18"/>
          <w:szCs w:val="18"/>
          <w:lang w:eastAsia="es-ES"/>
        </w:rPr>
        <w:t xml:space="preserve"> </w:t>
      </w:r>
    </w:p>
    <w:p w14:paraId="16E559CB"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p>
    <w:p w14:paraId="77B2890C" w14:textId="77777777" w:rsidR="00D35B0C" w:rsidRPr="00D35B0C" w:rsidRDefault="00D35B0C" w:rsidP="00D35B0C">
      <w:pPr>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Perfil de riesgo:</w:t>
      </w:r>
      <w:r w:rsidRPr="00D35B0C">
        <w:rPr>
          <w:rFonts w:ascii="Arial" w:eastAsia="Times New Roman" w:hAnsi="Arial" w:cs="Arial"/>
          <w:sz w:val="18"/>
          <w:szCs w:val="18"/>
          <w:lang w:eastAsia="es-ES"/>
        </w:rPr>
        <w:t xml:space="preserve"> La exposición a los riesgos actuales y potenciales inherentes al desarrollo del plan de negocio de la entidad.</w:t>
      </w:r>
    </w:p>
    <w:p w14:paraId="17409C6E" w14:textId="77777777" w:rsidR="00D35B0C" w:rsidRPr="00317408" w:rsidRDefault="00D35B0C" w:rsidP="00D35B0C">
      <w:pPr>
        <w:spacing w:after="0" w:line="240" w:lineRule="auto"/>
        <w:jc w:val="both"/>
        <w:rPr>
          <w:rFonts w:ascii="Arial" w:eastAsia="Times New Roman" w:hAnsi="Arial" w:cs="Arial"/>
          <w:sz w:val="12"/>
          <w:szCs w:val="12"/>
          <w:lang w:eastAsia="es-ES"/>
        </w:rPr>
      </w:pPr>
    </w:p>
    <w:p w14:paraId="24BDE03C" w14:textId="77777777" w:rsidR="00D35B0C" w:rsidRPr="00D35B0C" w:rsidRDefault="00D35B0C" w:rsidP="00D35B0C">
      <w:pPr>
        <w:tabs>
          <w:tab w:val="left" w:pos="540"/>
        </w:tabs>
        <w:spacing w:after="0" w:line="240" w:lineRule="auto"/>
        <w:jc w:val="both"/>
        <w:rPr>
          <w:rFonts w:ascii="Arial" w:eastAsia="Times New Roman" w:hAnsi="Arial" w:cs="Arial"/>
          <w:b/>
          <w:sz w:val="18"/>
          <w:szCs w:val="18"/>
          <w:lang w:eastAsia="es-ES"/>
        </w:rPr>
      </w:pPr>
      <w:r w:rsidRPr="00D35B0C">
        <w:rPr>
          <w:rFonts w:ascii="Arial" w:eastAsia="Times New Roman" w:hAnsi="Arial" w:cs="Arial"/>
          <w:sz w:val="18"/>
          <w:szCs w:val="18"/>
          <w:lang w:eastAsia="es-ES"/>
        </w:rPr>
        <w:t>Para propósitos del numerales 4 de la Parte II y Parte III relacionados con la gestión de riesgo operacional se entiende como perfil de riesgo el resultado consolidado de la medición permanente de los riesgos a los que se ve expuesta la entidad</w:t>
      </w:r>
      <w:r w:rsidRPr="00D35B0C">
        <w:rPr>
          <w:rFonts w:ascii="Arial" w:eastAsia="Times New Roman" w:hAnsi="Arial" w:cs="Arial"/>
          <w:b/>
          <w:sz w:val="18"/>
          <w:szCs w:val="18"/>
          <w:lang w:eastAsia="es-ES"/>
        </w:rPr>
        <w:t>.</w:t>
      </w:r>
    </w:p>
    <w:p w14:paraId="23502116" w14:textId="77777777" w:rsidR="00D35B0C" w:rsidRPr="00D35B0C" w:rsidRDefault="00D35B0C" w:rsidP="00D35B0C">
      <w:pPr>
        <w:tabs>
          <w:tab w:val="left" w:pos="426"/>
        </w:tabs>
        <w:spacing w:after="0" w:line="240" w:lineRule="auto"/>
        <w:jc w:val="both"/>
        <w:rPr>
          <w:rFonts w:ascii="Arial" w:eastAsia="Times New Roman" w:hAnsi="Arial" w:cs="Arial"/>
          <w:b/>
          <w:sz w:val="18"/>
          <w:szCs w:val="18"/>
          <w:lang w:eastAsia="es-ES"/>
        </w:rPr>
      </w:pPr>
    </w:p>
    <w:p w14:paraId="228D9F9D" w14:textId="6A132B62" w:rsidR="00C846C3" w:rsidRDefault="00D35B0C" w:rsidP="00D35B0C">
      <w:pPr>
        <w:tabs>
          <w:tab w:val="left" w:pos="426"/>
        </w:tabs>
        <w:spacing w:after="0" w:line="240" w:lineRule="auto"/>
        <w:jc w:val="both"/>
        <w:rPr>
          <w:rFonts w:ascii="Arial" w:eastAsia="Times New Roman" w:hAnsi="Arial" w:cs="Arial"/>
          <w:b/>
          <w:sz w:val="18"/>
          <w:szCs w:val="18"/>
          <w:lang w:eastAsia="es-ES"/>
        </w:rPr>
      </w:pPr>
      <w:r w:rsidRPr="00D35B0C">
        <w:rPr>
          <w:rFonts w:ascii="Arial" w:eastAsia="Times New Roman" w:hAnsi="Arial" w:cs="Arial"/>
          <w:b/>
          <w:sz w:val="18"/>
          <w:szCs w:val="18"/>
          <w:lang w:eastAsia="es-ES"/>
        </w:rPr>
        <w:t xml:space="preserve">Plan de contingencia: </w:t>
      </w:r>
      <w:r w:rsidRPr="00D35B0C">
        <w:rPr>
          <w:rFonts w:ascii="Arial" w:eastAsia="Times New Roman" w:hAnsi="Arial" w:cs="Arial"/>
          <w:sz w:val="18"/>
          <w:szCs w:val="18"/>
          <w:lang w:eastAsia="es-ES"/>
        </w:rPr>
        <w:t>Conjunto de acciones y recursos para responder a las situaciones adversas, fallas e interrupciones específicas de un sistema o proceso, así como para resolver las vulnerabilidades identificas en los ejercicios de estrés. El plan debe ser realista, viable y coherente con el plan de negocio y apetito de riesgo.</w:t>
      </w:r>
      <w:r w:rsidR="00C846C3">
        <w:rPr>
          <w:rFonts w:ascii="Arial" w:eastAsia="Times New Roman" w:hAnsi="Arial" w:cs="Arial"/>
          <w:sz w:val="18"/>
          <w:szCs w:val="18"/>
          <w:lang w:eastAsia="es-ES"/>
        </w:rPr>
        <w:t xml:space="preserve"> </w:t>
      </w:r>
      <w:r w:rsidR="00C846C3">
        <w:rPr>
          <w:rFonts w:ascii="Arial" w:eastAsia="Times New Roman" w:hAnsi="Arial" w:cs="Arial"/>
          <w:b/>
          <w:sz w:val="18"/>
          <w:szCs w:val="18"/>
          <w:lang w:eastAsia="es-ES"/>
        </w:rPr>
        <w:t xml:space="preserve"> </w:t>
      </w:r>
    </w:p>
    <w:p w14:paraId="7BBDBC17" w14:textId="77777777" w:rsidR="00C846C3" w:rsidRDefault="00C846C3" w:rsidP="00D35B0C">
      <w:pPr>
        <w:tabs>
          <w:tab w:val="left" w:pos="426"/>
        </w:tabs>
        <w:spacing w:after="0" w:line="240" w:lineRule="auto"/>
        <w:jc w:val="both"/>
        <w:rPr>
          <w:rFonts w:ascii="Arial" w:eastAsia="Times New Roman" w:hAnsi="Arial" w:cs="Arial"/>
          <w:b/>
          <w:sz w:val="18"/>
          <w:szCs w:val="18"/>
          <w:lang w:eastAsia="es-ES"/>
        </w:rPr>
      </w:pPr>
    </w:p>
    <w:p w14:paraId="50D45CC0" w14:textId="3A481E43"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Plan de continuidad del negocio</w:t>
      </w:r>
      <w:r w:rsidRPr="00D35B0C">
        <w:rPr>
          <w:rFonts w:ascii="Arial" w:eastAsia="Times New Roman" w:hAnsi="Arial" w:cs="Arial"/>
          <w:sz w:val="18"/>
          <w:szCs w:val="18"/>
          <w:lang w:eastAsia="es-ES"/>
        </w:rPr>
        <w:t xml:space="preserve">: Conjunto detallado de acciones que describen los procedimientos, los sistemas y los recursos necesarios para responder, recuperar, reanudar y restaurar la operación, en caso de interrupción. </w:t>
      </w:r>
    </w:p>
    <w:p w14:paraId="7DF715B3" w14:textId="77777777" w:rsidR="00D35B0C" w:rsidRPr="00D35B0C" w:rsidRDefault="00D35B0C" w:rsidP="00D35B0C">
      <w:pPr>
        <w:spacing w:after="0" w:line="240" w:lineRule="auto"/>
        <w:jc w:val="both"/>
        <w:rPr>
          <w:rFonts w:ascii="Arial" w:eastAsia="Times New Roman" w:hAnsi="Arial" w:cs="Arial"/>
          <w:b/>
          <w:sz w:val="18"/>
          <w:szCs w:val="18"/>
          <w:lang w:eastAsia="es-ES"/>
        </w:rPr>
      </w:pPr>
    </w:p>
    <w:p w14:paraId="0B088012" w14:textId="77777777" w:rsidR="00D35B0C" w:rsidRPr="00D35B0C" w:rsidRDefault="00D35B0C" w:rsidP="00D35B0C">
      <w:pPr>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Plan de fondeo de contingencia:</w:t>
      </w:r>
      <w:r w:rsidRPr="00D35B0C">
        <w:rPr>
          <w:rFonts w:ascii="Arial" w:eastAsia="Times New Roman" w:hAnsi="Arial" w:cs="Arial"/>
          <w:sz w:val="18"/>
          <w:szCs w:val="18"/>
          <w:lang w:eastAsia="es-ES"/>
        </w:rPr>
        <w:t xml:space="preserve"> Es la compilación de políticas, procedimientos y planes de acción para responder a choques severos que afectan la habilidad de una entidad para fondear algunas o todas sus actividades a tiempo y con un costo razonable.</w:t>
      </w:r>
    </w:p>
    <w:p w14:paraId="6025F8BF" w14:textId="77777777" w:rsidR="00D35B0C" w:rsidRPr="00D35B0C" w:rsidRDefault="00D35B0C" w:rsidP="00D35B0C">
      <w:pPr>
        <w:tabs>
          <w:tab w:val="left" w:pos="426"/>
        </w:tabs>
        <w:spacing w:after="0" w:line="240" w:lineRule="auto"/>
        <w:jc w:val="both"/>
        <w:rPr>
          <w:rFonts w:ascii="Arial" w:eastAsia="Times New Roman" w:hAnsi="Arial" w:cs="Arial"/>
          <w:sz w:val="18"/>
          <w:szCs w:val="18"/>
          <w:lang w:eastAsia="es-ES"/>
        </w:rPr>
      </w:pPr>
    </w:p>
    <w:p w14:paraId="2BC498CC" w14:textId="77777777" w:rsidR="00D35B0C" w:rsidRPr="00D35B0C" w:rsidRDefault="00D35B0C" w:rsidP="00D35B0C">
      <w:pPr>
        <w:spacing w:after="0" w:line="240" w:lineRule="auto"/>
        <w:jc w:val="both"/>
        <w:rPr>
          <w:rFonts w:ascii="Arial" w:eastAsia="Times New Roman" w:hAnsi="Arial" w:cs="Arial"/>
          <w:sz w:val="18"/>
          <w:szCs w:val="18"/>
          <w:lang w:eastAsia="es-ES"/>
        </w:rPr>
      </w:pPr>
      <w:r w:rsidRPr="00D35B0C">
        <w:rPr>
          <w:rFonts w:ascii="Arial" w:eastAsia="Times New Roman" w:hAnsi="Arial" w:cs="Arial"/>
          <w:b/>
          <w:bCs/>
          <w:sz w:val="18"/>
          <w:szCs w:val="18"/>
          <w:lang w:eastAsia="es-ES"/>
        </w:rPr>
        <w:t xml:space="preserve">Plan de negocio: </w:t>
      </w:r>
      <w:r w:rsidRPr="00D35B0C">
        <w:rPr>
          <w:rFonts w:ascii="Arial" w:eastAsia="Times New Roman" w:hAnsi="Arial" w:cs="Arial"/>
          <w:sz w:val="18"/>
          <w:szCs w:val="18"/>
          <w:lang w:eastAsia="es-ES"/>
        </w:rPr>
        <w:t xml:space="preserve">Es el plan detallado de los objetivos que se quieren alcanzar, en desarrollo de sus actividades, especificando el cómo se va a alcanzar, las actividades necesarias a implementar y en qué tiempos se van a ejecutar, teniendo en cuenta la misión, visión y objetivos de la entidad.  </w:t>
      </w:r>
    </w:p>
    <w:p w14:paraId="302682AE" w14:textId="77777777" w:rsidR="00D35B0C" w:rsidRPr="00D35B0C" w:rsidRDefault="00D35B0C" w:rsidP="00D35B0C">
      <w:pPr>
        <w:spacing w:after="0" w:line="240" w:lineRule="auto"/>
        <w:jc w:val="both"/>
        <w:rPr>
          <w:rFonts w:ascii="Arial" w:eastAsia="Times New Roman" w:hAnsi="Arial" w:cs="Arial"/>
          <w:sz w:val="18"/>
          <w:szCs w:val="18"/>
          <w:lang w:eastAsia="es-ES"/>
        </w:rPr>
      </w:pPr>
    </w:p>
    <w:p w14:paraId="71626B66" w14:textId="77777777" w:rsidR="00D35B0C" w:rsidRPr="00D35B0C" w:rsidRDefault="00D35B0C" w:rsidP="00D35B0C">
      <w:pPr>
        <w:spacing w:after="0" w:line="240" w:lineRule="auto"/>
        <w:jc w:val="both"/>
        <w:rPr>
          <w:rFonts w:ascii="Arial" w:eastAsia="Times New Roman" w:hAnsi="Arial" w:cs="Arial"/>
          <w:b/>
          <w:bCs/>
          <w:sz w:val="18"/>
          <w:szCs w:val="18"/>
          <w:lang w:eastAsia="es-ES"/>
        </w:rPr>
      </w:pPr>
      <w:r w:rsidRPr="00D35B0C">
        <w:rPr>
          <w:rFonts w:ascii="Arial" w:eastAsia="Times New Roman" w:hAnsi="Arial" w:cs="Arial"/>
          <w:b/>
          <w:bCs/>
          <w:sz w:val="18"/>
          <w:szCs w:val="18"/>
          <w:lang w:eastAsia="es-ES"/>
        </w:rPr>
        <w:t xml:space="preserve">Pruebas de estrés: </w:t>
      </w:r>
      <w:r w:rsidRPr="00D35B0C">
        <w:rPr>
          <w:rFonts w:ascii="Arial" w:eastAsia="Times New Roman" w:hAnsi="Arial" w:cs="Arial"/>
          <w:sz w:val="18"/>
          <w:szCs w:val="18"/>
          <w:lang w:eastAsia="es-ES"/>
        </w:rPr>
        <w:t>Es la</w:t>
      </w:r>
      <w:r w:rsidRPr="00D35B0C">
        <w:rPr>
          <w:rFonts w:ascii="Arial" w:eastAsia="Times New Roman" w:hAnsi="Arial" w:cs="Arial"/>
          <w:b/>
          <w:bCs/>
          <w:sz w:val="18"/>
          <w:szCs w:val="18"/>
          <w:lang w:eastAsia="es-ES"/>
        </w:rPr>
        <w:t xml:space="preserve"> </w:t>
      </w:r>
      <w:r w:rsidRPr="00D35B0C">
        <w:rPr>
          <w:rFonts w:ascii="Arial" w:eastAsia="Times New Roman" w:hAnsi="Arial" w:cs="Arial"/>
          <w:sz w:val="18"/>
          <w:szCs w:val="18"/>
          <w:lang w:eastAsia="es-ES"/>
        </w:rPr>
        <w:t>simulación de eventos y escenarios adversos para evaluar el impacto en la exposición de cada riesgo. Para su realización las entidades podrán seguir los lineamientos del Capítulo XXVIII de la CBCF respecto de las pruebas de resistencia internas (utilizadas para la planeación financiera y gestión de riesgos), así como los desarrollos de información y modelación efectuados para las pruebas requeridas por la SFC (para efectos de la supervisión prudencial y evaluación de la estabilidad financiera).</w:t>
      </w:r>
    </w:p>
    <w:p w14:paraId="67BF0DE1" w14:textId="77777777" w:rsidR="00D35B0C" w:rsidRPr="00D35B0C" w:rsidRDefault="00D35B0C" w:rsidP="00D35B0C">
      <w:pPr>
        <w:tabs>
          <w:tab w:val="left" w:pos="426"/>
        </w:tabs>
        <w:spacing w:after="0" w:line="240" w:lineRule="auto"/>
        <w:jc w:val="both"/>
        <w:rPr>
          <w:rFonts w:ascii="Arial" w:eastAsia="Times New Roman" w:hAnsi="Arial" w:cs="Arial"/>
          <w:b/>
          <w:sz w:val="18"/>
          <w:szCs w:val="18"/>
          <w:lang w:eastAsia="es-ES"/>
        </w:rPr>
      </w:pPr>
    </w:p>
    <w:p w14:paraId="27846B3F" w14:textId="77777777" w:rsidR="00D35B0C" w:rsidRDefault="00D35B0C" w:rsidP="00D35B0C">
      <w:pPr>
        <w:tabs>
          <w:tab w:val="left" w:pos="426"/>
        </w:tabs>
        <w:spacing w:after="0" w:line="240" w:lineRule="auto"/>
        <w:jc w:val="both"/>
        <w:rPr>
          <w:rFonts w:ascii="Arial" w:eastAsia="Times New Roman" w:hAnsi="Arial" w:cs="Arial"/>
          <w:sz w:val="18"/>
          <w:szCs w:val="18"/>
          <w:lang w:eastAsia="es-ES"/>
        </w:rPr>
      </w:pPr>
      <w:r w:rsidRPr="00D35B0C">
        <w:rPr>
          <w:rFonts w:ascii="Arial" w:eastAsia="Times New Roman" w:hAnsi="Arial" w:cs="Arial"/>
          <w:b/>
          <w:sz w:val="18"/>
          <w:szCs w:val="18"/>
          <w:lang w:eastAsia="es-ES"/>
        </w:rPr>
        <w:t xml:space="preserve">Operaciones de redescuento: </w:t>
      </w:r>
      <w:r w:rsidRPr="00D35B0C">
        <w:rPr>
          <w:rFonts w:ascii="Arial" w:eastAsia="Times New Roman" w:hAnsi="Arial" w:cs="Arial"/>
          <w:sz w:val="18"/>
          <w:szCs w:val="18"/>
          <w:lang w:eastAsia="es-ES"/>
        </w:rPr>
        <w:t>Se entiende por operación de redescuento aquella en virtud de la cual una institución financiera autorizada por la Ley para realizar estas operaciones canaliza recursos para el fomento de actividades económicas en sectores específicos a través de entidades autorizadas para el efecto y sujetas a la vigilancia de la SFC, con excepción de los intermediarios de seguros.</w:t>
      </w:r>
    </w:p>
    <w:p w14:paraId="1E13290E" w14:textId="77777777" w:rsidR="00866CB2" w:rsidRDefault="00866CB2" w:rsidP="003261F2">
      <w:pPr>
        <w:tabs>
          <w:tab w:val="left" w:pos="567"/>
        </w:tabs>
        <w:spacing w:after="0" w:line="240" w:lineRule="auto"/>
        <w:contextualSpacing/>
        <w:jc w:val="both"/>
        <w:rPr>
          <w:rFonts w:ascii="Arial" w:eastAsia="Times New Roman" w:hAnsi="Arial" w:cs="Arial"/>
          <w:b/>
          <w:sz w:val="18"/>
          <w:szCs w:val="18"/>
          <w:lang w:eastAsia="es-ES"/>
        </w:rPr>
      </w:pPr>
    </w:p>
    <w:p w14:paraId="23A66FBB" w14:textId="200E0F63" w:rsidR="00937F4D" w:rsidRPr="00937F4D" w:rsidRDefault="00D35B0C" w:rsidP="00A4125D">
      <w:pPr>
        <w:tabs>
          <w:tab w:val="left" w:pos="567"/>
        </w:tabs>
        <w:spacing w:after="0" w:line="240" w:lineRule="auto"/>
        <w:contextualSpacing/>
        <w:jc w:val="both"/>
        <w:rPr>
          <w:rFonts w:ascii="Arial" w:hAnsi="Arial" w:cs="Arial"/>
          <w:b/>
          <w:bCs/>
          <w:sz w:val="18"/>
          <w:szCs w:val="18"/>
        </w:rPr>
      </w:pPr>
      <w:r w:rsidRPr="00D35B0C">
        <w:rPr>
          <w:rFonts w:ascii="Arial" w:eastAsia="Times New Roman" w:hAnsi="Arial" w:cs="Arial"/>
          <w:b/>
          <w:sz w:val="18"/>
          <w:szCs w:val="18"/>
          <w:lang w:eastAsia="es-ES"/>
        </w:rPr>
        <w:t>Riesgo de diferencial de crédito de libro bancario (</w:t>
      </w:r>
      <w:r w:rsidRPr="00D35B0C">
        <w:rPr>
          <w:rFonts w:ascii="Arial" w:eastAsia="Times New Roman" w:hAnsi="Arial" w:cs="Arial"/>
          <w:b/>
          <w:sz w:val="18"/>
          <w:szCs w:val="18"/>
          <w:lang w:val="es-ES" w:eastAsia="es-ES"/>
        </w:rPr>
        <w:t>RSCLB)</w:t>
      </w:r>
      <w:r w:rsidRPr="00D35B0C">
        <w:rPr>
          <w:rFonts w:ascii="Arial" w:eastAsia="Times New Roman" w:hAnsi="Arial" w:cs="Arial"/>
          <w:b/>
          <w:sz w:val="18"/>
          <w:szCs w:val="18"/>
          <w:lang w:eastAsia="es-ES"/>
        </w:rPr>
        <w:t>:</w:t>
      </w:r>
      <w:r w:rsidRPr="00D35B0C">
        <w:rPr>
          <w:rFonts w:ascii="Arial" w:eastAsia="Times New Roman" w:hAnsi="Arial" w:cs="Arial"/>
          <w:bCs/>
          <w:sz w:val="18"/>
          <w:szCs w:val="18"/>
          <w:lang w:eastAsia="es-ES"/>
        </w:rPr>
        <w:t xml:space="preserve"> Este riesgo se define como cualquier tipo de riesgo de diferencial de crédito y diferencial de liquidez que no se explica por el RTILB, ni por el riesgo de crédito. Este riesgo cubre los activos del libro bancario donde los cambios en el valor de mercado de tales activos afectan los resultados del periodo y los resultados integrales. Por lo tanto, considera los activos del libro bancario contabilizados como: i) Activos al Valor Razonable con efecto en ORI (inversiones disponibles para la venta) que se espera que posiblemente se vendan antes del vencimiento, y ii) Activos al Valor Razonable con efecto en Resultados (inversiones negociables), incluidos en el libro bancario.</w:t>
      </w:r>
    </w:p>
    <w:sectPr w:rsidR="00937F4D" w:rsidRPr="00937F4D" w:rsidSect="00E9121E">
      <w:headerReference w:type="default" r:id="rId22"/>
      <w:pgSz w:w="12240" w:h="18720" w:code="14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178A" w14:textId="77777777" w:rsidR="00894D10" w:rsidRDefault="00894D10" w:rsidP="00862428">
      <w:pPr>
        <w:spacing w:after="0" w:line="240" w:lineRule="auto"/>
      </w:pPr>
      <w:r>
        <w:separator/>
      </w:r>
    </w:p>
  </w:endnote>
  <w:endnote w:type="continuationSeparator" w:id="0">
    <w:p w14:paraId="43956E17" w14:textId="77777777" w:rsidR="00894D10" w:rsidRDefault="00894D10" w:rsidP="00862428">
      <w:pPr>
        <w:spacing w:after="0" w:line="240" w:lineRule="auto"/>
      </w:pPr>
      <w:r>
        <w:continuationSeparator/>
      </w:r>
    </w:p>
  </w:endnote>
  <w:endnote w:type="continuationNotice" w:id="1">
    <w:p w14:paraId="5177D6D3" w14:textId="77777777" w:rsidR="00894D10" w:rsidRDefault="00894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4047" w14:textId="598C840C" w:rsidR="00B13205" w:rsidRPr="00805059" w:rsidRDefault="00B13205">
    <w:pPr>
      <w:pStyle w:val="Piedepgina"/>
      <w:rPr>
        <w:rFonts w:ascii="Arial" w:hAnsi="Arial" w:cs="Arial"/>
        <w:b/>
        <w:bCs/>
        <w:sz w:val="18"/>
        <w:szCs w:val="18"/>
        <w:lang w:val="es-MX"/>
      </w:rPr>
    </w:pPr>
    <w:r w:rsidRPr="00805059">
      <w:rPr>
        <w:rFonts w:ascii="Arial" w:hAnsi="Arial" w:cs="Arial"/>
        <w:b/>
        <w:bCs/>
        <w:sz w:val="18"/>
        <w:szCs w:val="18"/>
        <w:lang w:val="es-MX"/>
      </w:rPr>
      <w:t xml:space="preserve">Circular Externa </w:t>
    </w:r>
    <w:r w:rsidR="00805059" w:rsidRPr="00805059">
      <w:rPr>
        <w:rFonts w:ascii="Arial" w:hAnsi="Arial" w:cs="Arial"/>
        <w:b/>
        <w:bCs/>
        <w:sz w:val="18"/>
        <w:szCs w:val="18"/>
        <w:lang w:val="es-MX"/>
      </w:rPr>
      <w:t xml:space="preserve">   </w:t>
    </w:r>
    <w:r w:rsidR="005F7578">
      <w:rPr>
        <w:rFonts w:ascii="Arial" w:hAnsi="Arial" w:cs="Arial"/>
        <w:b/>
        <w:bCs/>
        <w:sz w:val="18"/>
        <w:szCs w:val="18"/>
        <w:lang w:val="es-MX"/>
      </w:rPr>
      <w:t xml:space="preserve">    </w:t>
    </w:r>
    <w:r w:rsidR="00805059" w:rsidRPr="00805059">
      <w:rPr>
        <w:rFonts w:ascii="Arial" w:hAnsi="Arial" w:cs="Arial"/>
        <w:b/>
        <w:bCs/>
        <w:sz w:val="18"/>
        <w:szCs w:val="18"/>
        <w:lang w:val="es-MX"/>
      </w:rPr>
      <w:t xml:space="preserve">       de 2023</w:t>
    </w:r>
    <w:r w:rsidR="00805059">
      <w:rPr>
        <w:rFonts w:ascii="Arial" w:hAnsi="Arial" w:cs="Arial"/>
        <w:b/>
        <w:bCs/>
        <w:sz w:val="18"/>
        <w:szCs w:val="18"/>
        <w:lang w:val="es-MX"/>
      </w:rPr>
      <w:t xml:space="preserve"> </w:t>
    </w:r>
    <w:r w:rsidR="005F7578">
      <w:rPr>
        <w:rFonts w:ascii="Arial" w:hAnsi="Arial" w:cs="Arial"/>
        <w:b/>
        <w:bCs/>
        <w:sz w:val="18"/>
        <w:szCs w:val="18"/>
        <w:lang w:val="es-MX"/>
      </w:rPr>
      <w:t xml:space="preserve">                                                                                                          de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985CA" w14:textId="77777777" w:rsidR="00894D10" w:rsidRDefault="00894D10" w:rsidP="00862428">
      <w:pPr>
        <w:spacing w:after="0" w:line="240" w:lineRule="auto"/>
      </w:pPr>
      <w:r>
        <w:separator/>
      </w:r>
    </w:p>
  </w:footnote>
  <w:footnote w:type="continuationSeparator" w:id="0">
    <w:p w14:paraId="3BC814C5" w14:textId="77777777" w:rsidR="00894D10" w:rsidRDefault="00894D10" w:rsidP="00862428">
      <w:pPr>
        <w:spacing w:after="0" w:line="240" w:lineRule="auto"/>
      </w:pPr>
      <w:r>
        <w:continuationSeparator/>
      </w:r>
    </w:p>
  </w:footnote>
  <w:footnote w:type="continuationNotice" w:id="1">
    <w:p w14:paraId="554BABE7" w14:textId="77777777" w:rsidR="00894D10" w:rsidRDefault="00894D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20636"/>
      <w:docPartObj>
        <w:docPartGallery w:val="Page Numbers (Top of Page)"/>
        <w:docPartUnique/>
      </w:docPartObj>
    </w:sdtPr>
    <w:sdtEndPr>
      <w:rPr>
        <w:rFonts w:ascii="Arial" w:hAnsi="Arial"/>
        <w:b/>
        <w:sz w:val="18"/>
        <w:szCs w:val="18"/>
      </w:rPr>
    </w:sdtEndPr>
    <w:sdtContent>
      <w:p w14:paraId="3381440B" w14:textId="77777777" w:rsidR="003D7396" w:rsidRDefault="003D7396" w:rsidP="00335C2D">
        <w:pPr>
          <w:pStyle w:val="Encabezado"/>
          <w:jc w:val="center"/>
          <w:rPr>
            <w:rFonts w:ascii="Arial" w:hAnsi="Arial" w:cs="Arial"/>
            <w:b/>
          </w:rPr>
        </w:pPr>
        <w:r>
          <w:rPr>
            <w:rFonts w:ascii="Arial" w:hAnsi="Arial" w:cs="Arial"/>
            <w:b/>
          </w:rPr>
          <w:t>SUPERINTENDENCIA FINANCIERA DE COLOMBIA</w:t>
        </w:r>
      </w:p>
      <w:p w14:paraId="011C18B7" w14:textId="77777777" w:rsidR="003D7396" w:rsidRDefault="003D7396" w:rsidP="00335C2D">
        <w:pPr>
          <w:pStyle w:val="Encabezado"/>
          <w:jc w:val="center"/>
          <w:rPr>
            <w:rFonts w:ascii="Arial" w:hAnsi="Arial" w:cs="Arial"/>
            <w:b/>
          </w:rPr>
        </w:pPr>
      </w:p>
      <w:p w14:paraId="2DECD93B" w14:textId="77777777" w:rsidR="003D7396" w:rsidRDefault="003D7396"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7256817A" w14:textId="43EE3775" w:rsidR="003D7396" w:rsidRDefault="003D7396">
        <w:pPr>
          <w:pStyle w:val="Encabezado"/>
          <w:rPr>
            <w:rFonts w:ascii="Arial" w:hAnsi="Arial"/>
            <w:b/>
            <w:sz w:val="18"/>
            <w:szCs w:val="18"/>
          </w:rPr>
        </w:pPr>
        <w:r w:rsidRPr="001E1485">
          <w:rPr>
            <w:rFonts w:ascii="Arial" w:hAnsi="Arial"/>
            <w:b/>
            <w:sz w:val="18"/>
            <w:szCs w:val="18"/>
          </w:rPr>
          <w:t xml:space="preserve">Página </w:t>
        </w:r>
        <w:r w:rsidR="00FE6E1F">
          <w:rPr>
            <w:rFonts w:ascii="Arial" w:hAnsi="Arial"/>
            <w:b/>
            <w:sz w:val="18"/>
            <w:szCs w:val="18"/>
          </w:rPr>
          <w:t>2</w:t>
        </w:r>
      </w:p>
    </w:sdtContent>
  </w:sdt>
  <w:p w14:paraId="7BB210E0" w14:textId="77777777" w:rsidR="003D7396" w:rsidRPr="001E1485" w:rsidRDefault="003D7396">
    <w:pPr>
      <w:pStyle w:val="Encabezado"/>
      <w:rPr>
        <w:rFonts w:ascii="Arial" w:hAnsi="Arial"/>
        <w:b/>
        <w:sz w:val="18"/>
        <w:szCs w:val="18"/>
      </w:rPr>
    </w:pPr>
  </w:p>
  <w:p w14:paraId="6A9C6C37" w14:textId="77777777" w:rsidR="003D7396" w:rsidRDefault="003D739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260458"/>
      <w:docPartObj>
        <w:docPartGallery w:val="Page Numbers (Top of Page)"/>
        <w:docPartUnique/>
      </w:docPartObj>
    </w:sdtPr>
    <w:sdtEndPr>
      <w:rPr>
        <w:rFonts w:ascii="Arial" w:hAnsi="Arial"/>
        <w:b/>
        <w:sz w:val="18"/>
        <w:szCs w:val="18"/>
      </w:rPr>
    </w:sdtEndPr>
    <w:sdtContent>
      <w:p w14:paraId="2AC41E76" w14:textId="77777777" w:rsidR="00D35B0C" w:rsidRDefault="00D35B0C" w:rsidP="00335C2D">
        <w:pPr>
          <w:pStyle w:val="Encabezado"/>
          <w:jc w:val="center"/>
          <w:rPr>
            <w:rFonts w:ascii="Arial" w:hAnsi="Arial" w:cs="Arial"/>
            <w:b/>
          </w:rPr>
        </w:pPr>
        <w:r>
          <w:rPr>
            <w:rFonts w:ascii="Arial" w:hAnsi="Arial" w:cs="Arial"/>
            <w:b/>
          </w:rPr>
          <w:t>SUPERINTENDENCIA FINANCIERA DE COLOMBIA</w:t>
        </w:r>
      </w:p>
      <w:p w14:paraId="40D159CD" w14:textId="77777777" w:rsidR="00D35B0C" w:rsidRDefault="00D35B0C" w:rsidP="00335C2D">
        <w:pPr>
          <w:pStyle w:val="Encabezado"/>
          <w:jc w:val="center"/>
          <w:rPr>
            <w:rFonts w:ascii="Arial" w:hAnsi="Arial" w:cs="Arial"/>
            <w:b/>
          </w:rPr>
        </w:pPr>
      </w:p>
      <w:p w14:paraId="3A6EEB82" w14:textId="77777777" w:rsidR="00D35B0C" w:rsidRDefault="00D35B0C"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4C4DB27E" w14:textId="77777777" w:rsidR="00D35B0C" w:rsidRDefault="00D35B0C" w:rsidP="00335C2D">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106</w:t>
        </w:r>
      </w:p>
      <w:p w14:paraId="5BC56490" w14:textId="77777777" w:rsidR="00D35B0C" w:rsidRPr="00763BA5" w:rsidRDefault="008D2A4D" w:rsidP="00335C2D">
        <w:pPr>
          <w:pStyle w:val="Encabezado"/>
          <w:rPr>
            <w:rFonts w:ascii="Arial" w:hAnsi="Arial"/>
            <w:b/>
            <w:sz w:val="18"/>
            <w:szCs w:val="18"/>
          </w:rPr>
        </w:pPr>
      </w:p>
    </w:sdtContent>
  </w:sdt>
  <w:p w14:paraId="3EAFCB85" w14:textId="77777777" w:rsidR="00D35B0C" w:rsidRDefault="00D35B0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295693"/>
      <w:docPartObj>
        <w:docPartGallery w:val="Page Numbers (Top of Page)"/>
        <w:docPartUnique/>
      </w:docPartObj>
    </w:sdtPr>
    <w:sdtEndPr>
      <w:rPr>
        <w:rFonts w:ascii="Arial" w:hAnsi="Arial"/>
        <w:b/>
        <w:sz w:val="18"/>
        <w:szCs w:val="18"/>
      </w:rPr>
    </w:sdtEndPr>
    <w:sdtContent>
      <w:p w14:paraId="0145F37F" w14:textId="77777777" w:rsidR="000F225E" w:rsidRDefault="000F225E" w:rsidP="00335C2D">
        <w:pPr>
          <w:pStyle w:val="Encabezado"/>
          <w:jc w:val="center"/>
          <w:rPr>
            <w:rFonts w:ascii="Arial" w:hAnsi="Arial" w:cs="Arial"/>
            <w:b/>
          </w:rPr>
        </w:pPr>
        <w:r>
          <w:rPr>
            <w:rFonts w:ascii="Arial" w:hAnsi="Arial" w:cs="Arial"/>
            <w:b/>
          </w:rPr>
          <w:t>SUPERINTENDENCIA FINANCIERA DE COLOMBIA</w:t>
        </w:r>
      </w:p>
      <w:p w14:paraId="739B0E86" w14:textId="77777777" w:rsidR="000F225E" w:rsidRDefault="000F225E" w:rsidP="00335C2D">
        <w:pPr>
          <w:pStyle w:val="Encabezado"/>
          <w:jc w:val="center"/>
          <w:rPr>
            <w:rFonts w:ascii="Arial" w:hAnsi="Arial" w:cs="Arial"/>
            <w:b/>
          </w:rPr>
        </w:pPr>
      </w:p>
      <w:p w14:paraId="1E891E26" w14:textId="77777777" w:rsidR="000F225E" w:rsidRDefault="000F225E"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0D565360" w14:textId="03E8E0D7" w:rsidR="000F225E" w:rsidRDefault="000F225E" w:rsidP="00335C2D">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10</w:t>
        </w:r>
        <w:r w:rsidR="00232876">
          <w:rPr>
            <w:rFonts w:ascii="Arial" w:hAnsi="Arial"/>
            <w:b/>
            <w:sz w:val="18"/>
            <w:szCs w:val="18"/>
          </w:rPr>
          <w:t>8</w:t>
        </w:r>
      </w:p>
      <w:p w14:paraId="43C94CDC" w14:textId="77777777" w:rsidR="000F225E" w:rsidRPr="00763BA5" w:rsidRDefault="008D2A4D" w:rsidP="00335C2D">
        <w:pPr>
          <w:pStyle w:val="Encabezado"/>
          <w:rPr>
            <w:rFonts w:ascii="Arial" w:hAnsi="Arial"/>
            <w:b/>
            <w:sz w:val="18"/>
            <w:szCs w:val="18"/>
          </w:rPr>
        </w:pPr>
      </w:p>
    </w:sdtContent>
  </w:sdt>
  <w:p w14:paraId="1C967C99" w14:textId="77777777" w:rsidR="000F225E" w:rsidRDefault="000F22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511383"/>
      <w:docPartObj>
        <w:docPartGallery w:val="Page Numbers (Top of Page)"/>
        <w:docPartUnique/>
      </w:docPartObj>
    </w:sdtPr>
    <w:sdtEndPr>
      <w:rPr>
        <w:rFonts w:ascii="Arial" w:hAnsi="Arial"/>
        <w:b/>
        <w:sz w:val="18"/>
        <w:szCs w:val="18"/>
      </w:rPr>
    </w:sdtEndPr>
    <w:sdtContent>
      <w:p w14:paraId="59BF0EA9" w14:textId="77777777" w:rsidR="00BD7AC5" w:rsidRDefault="00BD7AC5" w:rsidP="00335C2D">
        <w:pPr>
          <w:pStyle w:val="Encabezado"/>
          <w:jc w:val="center"/>
          <w:rPr>
            <w:rFonts w:ascii="Arial" w:hAnsi="Arial" w:cs="Arial"/>
            <w:b/>
          </w:rPr>
        </w:pPr>
        <w:r>
          <w:rPr>
            <w:rFonts w:ascii="Arial" w:hAnsi="Arial" w:cs="Arial"/>
            <w:b/>
          </w:rPr>
          <w:t>SUPERINTENDENCIA FINANCIERA DE COLOMBIA</w:t>
        </w:r>
      </w:p>
      <w:p w14:paraId="11A25046" w14:textId="77777777" w:rsidR="00BD7AC5" w:rsidRDefault="00BD7AC5" w:rsidP="00335C2D">
        <w:pPr>
          <w:pStyle w:val="Encabezado"/>
          <w:jc w:val="center"/>
          <w:rPr>
            <w:rFonts w:ascii="Arial" w:hAnsi="Arial" w:cs="Arial"/>
            <w:b/>
          </w:rPr>
        </w:pPr>
      </w:p>
      <w:p w14:paraId="1AEE4FF8" w14:textId="77777777" w:rsidR="00BD7AC5" w:rsidRDefault="00BD7AC5"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437E9BF5" w14:textId="6F3221C7" w:rsidR="00BD7AC5" w:rsidRDefault="00BD7AC5">
        <w:pPr>
          <w:pStyle w:val="Encabezado"/>
          <w:rPr>
            <w:rFonts w:ascii="Arial" w:hAnsi="Arial"/>
            <w:b/>
            <w:sz w:val="18"/>
            <w:szCs w:val="18"/>
          </w:rPr>
        </w:pPr>
        <w:r w:rsidRPr="001E1485">
          <w:rPr>
            <w:rFonts w:ascii="Arial" w:hAnsi="Arial"/>
            <w:b/>
            <w:sz w:val="18"/>
            <w:szCs w:val="18"/>
          </w:rPr>
          <w:t xml:space="preserve">Página </w:t>
        </w:r>
        <w:r w:rsidR="00180DBA">
          <w:rPr>
            <w:rFonts w:ascii="Arial" w:hAnsi="Arial"/>
            <w:b/>
            <w:sz w:val="18"/>
            <w:szCs w:val="18"/>
          </w:rPr>
          <w:t>4</w:t>
        </w:r>
      </w:p>
    </w:sdtContent>
  </w:sdt>
  <w:p w14:paraId="6B31EF0D" w14:textId="77777777" w:rsidR="00BD7AC5" w:rsidRPr="001E1485" w:rsidRDefault="00BD7AC5">
    <w:pPr>
      <w:pStyle w:val="Encabezado"/>
      <w:rPr>
        <w:rFonts w:ascii="Arial" w:hAnsi="Arial"/>
        <w:b/>
        <w:sz w:val="18"/>
        <w:szCs w:val="18"/>
      </w:rPr>
    </w:pPr>
  </w:p>
  <w:p w14:paraId="7E3DBD58" w14:textId="77777777" w:rsidR="00BD7AC5" w:rsidRDefault="00BD7A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305500"/>
      <w:docPartObj>
        <w:docPartGallery w:val="Page Numbers (Top of Page)"/>
        <w:docPartUnique/>
      </w:docPartObj>
    </w:sdtPr>
    <w:sdtEndPr>
      <w:rPr>
        <w:rFonts w:ascii="Arial" w:hAnsi="Arial"/>
        <w:b/>
        <w:sz w:val="18"/>
        <w:szCs w:val="18"/>
      </w:rPr>
    </w:sdtEndPr>
    <w:sdtContent>
      <w:p w14:paraId="394E8E29" w14:textId="77777777" w:rsidR="003004AB" w:rsidRDefault="003004AB" w:rsidP="00335C2D">
        <w:pPr>
          <w:pStyle w:val="Encabezado"/>
          <w:jc w:val="center"/>
          <w:rPr>
            <w:rFonts w:ascii="Arial" w:hAnsi="Arial" w:cs="Arial"/>
            <w:b/>
          </w:rPr>
        </w:pPr>
        <w:r>
          <w:rPr>
            <w:rFonts w:ascii="Arial" w:hAnsi="Arial" w:cs="Arial"/>
            <w:b/>
          </w:rPr>
          <w:t>SUPERINTENDENCIA FINANCIERA DE COLOMBIA</w:t>
        </w:r>
      </w:p>
      <w:p w14:paraId="15B08B12" w14:textId="77777777" w:rsidR="003004AB" w:rsidRDefault="003004AB" w:rsidP="00335C2D">
        <w:pPr>
          <w:pStyle w:val="Encabezado"/>
          <w:jc w:val="center"/>
          <w:rPr>
            <w:rFonts w:ascii="Arial" w:hAnsi="Arial" w:cs="Arial"/>
            <w:b/>
          </w:rPr>
        </w:pPr>
      </w:p>
      <w:p w14:paraId="30D4010A" w14:textId="77777777" w:rsidR="003004AB" w:rsidRDefault="003004AB"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5038ABC2" w14:textId="3F5B61C9" w:rsidR="003004AB" w:rsidRDefault="003004AB">
        <w:pPr>
          <w:pStyle w:val="Encabezado"/>
          <w:rPr>
            <w:rFonts w:ascii="Arial" w:hAnsi="Arial"/>
            <w:b/>
            <w:sz w:val="18"/>
            <w:szCs w:val="18"/>
          </w:rPr>
        </w:pPr>
        <w:r w:rsidRPr="001E1485">
          <w:rPr>
            <w:rFonts w:ascii="Arial" w:hAnsi="Arial"/>
            <w:b/>
            <w:sz w:val="18"/>
            <w:szCs w:val="18"/>
          </w:rPr>
          <w:t xml:space="preserve">Página </w:t>
        </w:r>
        <w:r w:rsidR="00CE2F83">
          <w:rPr>
            <w:rFonts w:ascii="Arial" w:hAnsi="Arial"/>
            <w:b/>
            <w:sz w:val="18"/>
            <w:szCs w:val="18"/>
          </w:rPr>
          <w:t>5</w:t>
        </w:r>
        <w:r w:rsidR="00E9121E">
          <w:rPr>
            <w:rFonts w:ascii="Arial" w:hAnsi="Arial"/>
            <w:b/>
            <w:sz w:val="18"/>
            <w:szCs w:val="18"/>
          </w:rPr>
          <w:t>3</w:t>
        </w:r>
      </w:p>
    </w:sdtContent>
  </w:sdt>
  <w:p w14:paraId="29220420" w14:textId="77777777" w:rsidR="003004AB" w:rsidRPr="001E1485" w:rsidRDefault="003004AB">
    <w:pPr>
      <w:pStyle w:val="Encabezado"/>
      <w:rPr>
        <w:rFonts w:ascii="Arial" w:hAnsi="Arial"/>
        <w:b/>
        <w:sz w:val="18"/>
        <w:szCs w:val="18"/>
      </w:rPr>
    </w:pPr>
  </w:p>
  <w:p w14:paraId="19050084" w14:textId="77777777" w:rsidR="003004AB" w:rsidRDefault="003004A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068519"/>
      <w:docPartObj>
        <w:docPartGallery w:val="Page Numbers (Top of Page)"/>
        <w:docPartUnique/>
      </w:docPartObj>
    </w:sdtPr>
    <w:sdtEndPr>
      <w:rPr>
        <w:rFonts w:ascii="Arial" w:hAnsi="Arial"/>
        <w:b/>
        <w:sz w:val="18"/>
        <w:szCs w:val="18"/>
      </w:rPr>
    </w:sdtEndPr>
    <w:sdtContent>
      <w:p w14:paraId="40271F77" w14:textId="77777777" w:rsidR="0091500F" w:rsidRDefault="0091500F" w:rsidP="00335C2D">
        <w:pPr>
          <w:pStyle w:val="Encabezado"/>
          <w:jc w:val="center"/>
          <w:rPr>
            <w:rFonts w:ascii="Arial" w:hAnsi="Arial" w:cs="Arial"/>
            <w:b/>
          </w:rPr>
        </w:pPr>
        <w:r>
          <w:rPr>
            <w:rFonts w:ascii="Arial" w:hAnsi="Arial" w:cs="Arial"/>
            <w:b/>
          </w:rPr>
          <w:t>SUPERINTENDENCIA FINANCIERA DE COLOMBIA</w:t>
        </w:r>
      </w:p>
      <w:p w14:paraId="37EEEA0E" w14:textId="77777777" w:rsidR="0091500F" w:rsidRDefault="0091500F" w:rsidP="00335C2D">
        <w:pPr>
          <w:pStyle w:val="Encabezado"/>
          <w:jc w:val="center"/>
          <w:rPr>
            <w:rFonts w:ascii="Arial" w:hAnsi="Arial" w:cs="Arial"/>
            <w:b/>
          </w:rPr>
        </w:pPr>
      </w:p>
      <w:p w14:paraId="6395DC0C" w14:textId="77777777" w:rsidR="0091500F" w:rsidRDefault="0091500F"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0727A4B6" w14:textId="6BEC3668" w:rsidR="0091500F" w:rsidRDefault="0091500F">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w:t>
        </w:r>
        <w:r w:rsidR="00E9121E">
          <w:rPr>
            <w:rFonts w:ascii="Arial" w:hAnsi="Arial"/>
            <w:b/>
            <w:sz w:val="18"/>
            <w:szCs w:val="18"/>
          </w:rPr>
          <w:t>4</w:t>
        </w:r>
      </w:p>
    </w:sdtContent>
  </w:sdt>
  <w:p w14:paraId="16E68042" w14:textId="77777777" w:rsidR="0091500F" w:rsidRPr="001E1485" w:rsidRDefault="0091500F">
    <w:pPr>
      <w:pStyle w:val="Encabezado"/>
      <w:rPr>
        <w:rFonts w:ascii="Arial" w:hAnsi="Arial"/>
        <w:b/>
        <w:sz w:val="18"/>
        <w:szCs w:val="18"/>
      </w:rPr>
    </w:pPr>
  </w:p>
  <w:p w14:paraId="23D328EA" w14:textId="77777777" w:rsidR="0091500F" w:rsidRDefault="0091500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4739"/>
      <w:docPartObj>
        <w:docPartGallery w:val="Page Numbers (Top of Page)"/>
        <w:docPartUnique/>
      </w:docPartObj>
    </w:sdtPr>
    <w:sdtEndPr>
      <w:rPr>
        <w:rFonts w:ascii="Arial" w:hAnsi="Arial"/>
        <w:b/>
        <w:sz w:val="18"/>
        <w:szCs w:val="18"/>
      </w:rPr>
    </w:sdtEndPr>
    <w:sdtContent>
      <w:p w14:paraId="0CC7140D" w14:textId="77777777" w:rsidR="0091500F" w:rsidRDefault="0091500F" w:rsidP="00335C2D">
        <w:pPr>
          <w:pStyle w:val="Encabezado"/>
          <w:jc w:val="center"/>
          <w:rPr>
            <w:rFonts w:ascii="Arial" w:hAnsi="Arial" w:cs="Arial"/>
            <w:b/>
          </w:rPr>
        </w:pPr>
        <w:r>
          <w:rPr>
            <w:rFonts w:ascii="Arial" w:hAnsi="Arial" w:cs="Arial"/>
            <w:b/>
          </w:rPr>
          <w:t>SUPERINTENDENCIA FINANCIERA DE COLOMBIA</w:t>
        </w:r>
      </w:p>
      <w:p w14:paraId="4C58DC7C" w14:textId="77777777" w:rsidR="0091500F" w:rsidRDefault="0091500F" w:rsidP="00335C2D">
        <w:pPr>
          <w:pStyle w:val="Encabezado"/>
          <w:jc w:val="center"/>
          <w:rPr>
            <w:rFonts w:ascii="Arial" w:hAnsi="Arial" w:cs="Arial"/>
            <w:b/>
          </w:rPr>
        </w:pPr>
      </w:p>
      <w:p w14:paraId="080F6FDF" w14:textId="77777777" w:rsidR="0091500F" w:rsidRDefault="0091500F"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534363ED" w14:textId="1D437981" w:rsidR="0091500F" w:rsidRDefault="0091500F">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w:t>
        </w:r>
        <w:r w:rsidR="00E9121E">
          <w:rPr>
            <w:rFonts w:ascii="Arial" w:hAnsi="Arial"/>
            <w:b/>
            <w:sz w:val="18"/>
            <w:szCs w:val="18"/>
          </w:rPr>
          <w:t>5</w:t>
        </w:r>
      </w:p>
    </w:sdtContent>
  </w:sdt>
  <w:p w14:paraId="5B5D517D" w14:textId="77777777" w:rsidR="0091500F" w:rsidRPr="001E1485" w:rsidRDefault="0091500F">
    <w:pPr>
      <w:pStyle w:val="Encabezado"/>
      <w:rPr>
        <w:rFonts w:ascii="Arial" w:hAnsi="Arial"/>
        <w:b/>
        <w:sz w:val="18"/>
        <w:szCs w:val="18"/>
      </w:rPr>
    </w:pPr>
  </w:p>
  <w:p w14:paraId="260C12CF" w14:textId="77777777" w:rsidR="0091500F" w:rsidRDefault="0091500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019911"/>
      <w:docPartObj>
        <w:docPartGallery w:val="Page Numbers (Top of Page)"/>
        <w:docPartUnique/>
      </w:docPartObj>
    </w:sdtPr>
    <w:sdtEndPr>
      <w:rPr>
        <w:rFonts w:ascii="Arial" w:hAnsi="Arial"/>
        <w:b/>
        <w:sz w:val="18"/>
        <w:szCs w:val="18"/>
      </w:rPr>
    </w:sdtEndPr>
    <w:sdtContent>
      <w:p w14:paraId="0F69C24B" w14:textId="77777777" w:rsidR="00E9121E" w:rsidRDefault="00E9121E" w:rsidP="00335C2D">
        <w:pPr>
          <w:pStyle w:val="Encabezado"/>
          <w:jc w:val="center"/>
          <w:rPr>
            <w:rFonts w:ascii="Arial" w:hAnsi="Arial" w:cs="Arial"/>
            <w:b/>
          </w:rPr>
        </w:pPr>
        <w:r>
          <w:rPr>
            <w:rFonts w:ascii="Arial" w:hAnsi="Arial" w:cs="Arial"/>
            <w:b/>
          </w:rPr>
          <w:t>SUPERINTENDENCIA FINANCIERA DE COLOMBIA</w:t>
        </w:r>
      </w:p>
      <w:p w14:paraId="674F688C" w14:textId="77777777" w:rsidR="00E9121E" w:rsidRDefault="00E9121E" w:rsidP="00335C2D">
        <w:pPr>
          <w:pStyle w:val="Encabezado"/>
          <w:jc w:val="center"/>
          <w:rPr>
            <w:rFonts w:ascii="Arial" w:hAnsi="Arial" w:cs="Arial"/>
            <w:b/>
          </w:rPr>
        </w:pPr>
      </w:p>
      <w:p w14:paraId="6C6AB0A0" w14:textId="77777777" w:rsidR="00E9121E" w:rsidRDefault="00E9121E"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5406EE4C" w14:textId="3269E4A5" w:rsidR="00E9121E" w:rsidRDefault="00E9121E">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56</w:t>
        </w:r>
      </w:p>
    </w:sdtContent>
  </w:sdt>
  <w:p w14:paraId="28F0C356" w14:textId="77777777" w:rsidR="00E9121E" w:rsidRPr="001E1485" w:rsidRDefault="00E9121E">
    <w:pPr>
      <w:pStyle w:val="Encabezado"/>
      <w:rPr>
        <w:rFonts w:ascii="Arial" w:hAnsi="Arial"/>
        <w:b/>
        <w:sz w:val="18"/>
        <w:szCs w:val="18"/>
      </w:rPr>
    </w:pPr>
  </w:p>
  <w:p w14:paraId="37827908" w14:textId="77777777" w:rsidR="00E9121E" w:rsidRDefault="00E9121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741474"/>
      <w:docPartObj>
        <w:docPartGallery w:val="Page Numbers (Top of Page)"/>
        <w:docPartUnique/>
      </w:docPartObj>
    </w:sdtPr>
    <w:sdtEndPr>
      <w:rPr>
        <w:rFonts w:ascii="Arial" w:hAnsi="Arial"/>
        <w:b/>
        <w:sz w:val="18"/>
        <w:szCs w:val="18"/>
      </w:rPr>
    </w:sdtEndPr>
    <w:sdtContent>
      <w:p w14:paraId="05DF4FF8" w14:textId="77777777" w:rsidR="00773296" w:rsidRDefault="00773296" w:rsidP="00335C2D">
        <w:pPr>
          <w:pStyle w:val="Encabezado"/>
          <w:jc w:val="center"/>
          <w:rPr>
            <w:rFonts w:ascii="Arial" w:hAnsi="Arial" w:cs="Arial"/>
            <w:b/>
          </w:rPr>
        </w:pPr>
        <w:r>
          <w:rPr>
            <w:rFonts w:ascii="Arial" w:hAnsi="Arial" w:cs="Arial"/>
            <w:b/>
          </w:rPr>
          <w:t>SUPERINTENDENCIA FINANCIERA DE COLOMBIA</w:t>
        </w:r>
      </w:p>
      <w:p w14:paraId="630B9C08" w14:textId="77777777" w:rsidR="00773296" w:rsidRDefault="00773296" w:rsidP="00335C2D">
        <w:pPr>
          <w:pStyle w:val="Encabezado"/>
          <w:jc w:val="center"/>
          <w:rPr>
            <w:rFonts w:ascii="Arial" w:hAnsi="Arial" w:cs="Arial"/>
            <w:b/>
          </w:rPr>
        </w:pPr>
      </w:p>
      <w:p w14:paraId="4F6DCEEC" w14:textId="77777777" w:rsidR="00773296" w:rsidRDefault="00773296"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42A822C7" w14:textId="40AB9E23" w:rsidR="00773296" w:rsidRDefault="00773296">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56-1</w:t>
        </w:r>
      </w:p>
    </w:sdtContent>
  </w:sdt>
  <w:p w14:paraId="474B0D7A" w14:textId="77777777" w:rsidR="00773296" w:rsidRPr="001E1485" w:rsidRDefault="00773296">
    <w:pPr>
      <w:pStyle w:val="Encabezado"/>
      <w:rPr>
        <w:rFonts w:ascii="Arial" w:hAnsi="Arial"/>
        <w:b/>
        <w:sz w:val="18"/>
        <w:szCs w:val="18"/>
      </w:rPr>
    </w:pPr>
  </w:p>
  <w:p w14:paraId="2550CB5A" w14:textId="77777777" w:rsidR="00773296" w:rsidRDefault="0077329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152838"/>
      <w:docPartObj>
        <w:docPartGallery w:val="Page Numbers (Top of Page)"/>
        <w:docPartUnique/>
      </w:docPartObj>
    </w:sdtPr>
    <w:sdtEndPr>
      <w:rPr>
        <w:rFonts w:ascii="Arial" w:hAnsi="Arial"/>
        <w:b/>
        <w:sz w:val="18"/>
        <w:szCs w:val="18"/>
      </w:rPr>
    </w:sdtEndPr>
    <w:sdtContent>
      <w:p w14:paraId="4AE342B3" w14:textId="77777777" w:rsidR="00FD5811" w:rsidRDefault="00FD5811" w:rsidP="00335C2D">
        <w:pPr>
          <w:pStyle w:val="Encabezado"/>
          <w:jc w:val="center"/>
          <w:rPr>
            <w:rFonts w:ascii="Arial" w:hAnsi="Arial" w:cs="Arial"/>
            <w:b/>
          </w:rPr>
        </w:pPr>
        <w:r>
          <w:rPr>
            <w:rFonts w:ascii="Arial" w:hAnsi="Arial" w:cs="Arial"/>
            <w:b/>
          </w:rPr>
          <w:t>SUPERINTENDENCIA FINANCIERA DE COLOMBIA</w:t>
        </w:r>
      </w:p>
      <w:p w14:paraId="0B82AEBD" w14:textId="77777777" w:rsidR="00FD5811" w:rsidRDefault="00FD5811" w:rsidP="00335C2D">
        <w:pPr>
          <w:pStyle w:val="Encabezado"/>
          <w:jc w:val="center"/>
          <w:rPr>
            <w:rFonts w:ascii="Arial" w:hAnsi="Arial" w:cs="Arial"/>
            <w:b/>
          </w:rPr>
        </w:pPr>
      </w:p>
      <w:p w14:paraId="2F7636BE" w14:textId="77777777" w:rsidR="00FD5811" w:rsidRDefault="00FD5811"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651EE5B2" w14:textId="3A7AAD54" w:rsidR="00FD5811" w:rsidRDefault="00FD5811">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6</w:t>
        </w:r>
        <w:r w:rsidR="004A1D5C">
          <w:rPr>
            <w:rFonts w:ascii="Arial" w:hAnsi="Arial"/>
            <w:b/>
            <w:sz w:val="18"/>
            <w:szCs w:val="18"/>
          </w:rPr>
          <w:t>5</w:t>
        </w:r>
      </w:p>
    </w:sdtContent>
  </w:sdt>
  <w:p w14:paraId="6D5ED339" w14:textId="77777777" w:rsidR="00FD5811" w:rsidRPr="001E1485" w:rsidRDefault="00FD5811">
    <w:pPr>
      <w:pStyle w:val="Encabezado"/>
      <w:rPr>
        <w:rFonts w:ascii="Arial" w:hAnsi="Arial"/>
        <w:b/>
        <w:sz w:val="18"/>
        <w:szCs w:val="18"/>
      </w:rPr>
    </w:pPr>
  </w:p>
  <w:p w14:paraId="69DA31AF" w14:textId="77777777" w:rsidR="00FD5811" w:rsidRDefault="00FD581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0684577"/>
      <w:docPartObj>
        <w:docPartGallery w:val="Page Numbers (Top of Page)"/>
        <w:docPartUnique/>
      </w:docPartObj>
    </w:sdtPr>
    <w:sdtEndPr>
      <w:rPr>
        <w:rFonts w:ascii="Arial" w:hAnsi="Arial"/>
        <w:b/>
        <w:sz w:val="18"/>
        <w:szCs w:val="18"/>
      </w:rPr>
    </w:sdtEndPr>
    <w:sdtContent>
      <w:p w14:paraId="771DE7C1" w14:textId="77777777" w:rsidR="004A1D5C" w:rsidRDefault="004A1D5C" w:rsidP="00335C2D">
        <w:pPr>
          <w:pStyle w:val="Encabezado"/>
          <w:jc w:val="center"/>
          <w:rPr>
            <w:rFonts w:ascii="Arial" w:hAnsi="Arial" w:cs="Arial"/>
            <w:b/>
          </w:rPr>
        </w:pPr>
        <w:r>
          <w:rPr>
            <w:rFonts w:ascii="Arial" w:hAnsi="Arial" w:cs="Arial"/>
            <w:b/>
          </w:rPr>
          <w:t>SUPERINTENDENCIA FINANCIERA DE COLOMBIA</w:t>
        </w:r>
      </w:p>
      <w:p w14:paraId="5150C808" w14:textId="77777777" w:rsidR="004A1D5C" w:rsidRDefault="004A1D5C" w:rsidP="00335C2D">
        <w:pPr>
          <w:pStyle w:val="Encabezado"/>
          <w:jc w:val="center"/>
          <w:rPr>
            <w:rFonts w:ascii="Arial" w:hAnsi="Arial" w:cs="Arial"/>
            <w:b/>
          </w:rPr>
        </w:pPr>
      </w:p>
      <w:p w14:paraId="2316AA8F" w14:textId="77777777" w:rsidR="004A1D5C" w:rsidRDefault="004A1D5C" w:rsidP="00335C2D">
        <w:pPr>
          <w:pStyle w:val="Encabezado"/>
          <w:jc w:val="both"/>
          <w:rPr>
            <w:rFonts w:ascii="Arial" w:hAnsi="Arial"/>
            <w:b/>
            <w:sz w:val="18"/>
            <w:szCs w:val="18"/>
          </w:rPr>
        </w:pPr>
        <w:r>
          <w:rPr>
            <w:rFonts w:ascii="Arial" w:hAnsi="Arial"/>
            <w:b/>
            <w:sz w:val="18"/>
            <w:szCs w:val="18"/>
          </w:rPr>
          <w:t>CAPÍTULO XXXI SISTEMA INTEGRAL DE ADMINISTRACIÓN DE RIESGOS (SIAR)</w:t>
        </w:r>
      </w:p>
      <w:p w14:paraId="3799E6A6" w14:textId="0722A7C5" w:rsidR="004A1D5C" w:rsidRDefault="004A1D5C">
        <w:pPr>
          <w:pStyle w:val="Encabezado"/>
          <w:rPr>
            <w:rFonts w:ascii="Arial" w:hAnsi="Arial"/>
            <w:b/>
            <w:sz w:val="18"/>
            <w:szCs w:val="18"/>
          </w:rPr>
        </w:pPr>
        <w:r w:rsidRPr="001E1485">
          <w:rPr>
            <w:rFonts w:ascii="Arial" w:hAnsi="Arial"/>
            <w:b/>
            <w:sz w:val="18"/>
            <w:szCs w:val="18"/>
          </w:rPr>
          <w:t xml:space="preserve">Página </w:t>
        </w:r>
        <w:r w:rsidR="00CF22AC">
          <w:rPr>
            <w:rFonts w:ascii="Arial" w:hAnsi="Arial"/>
            <w:b/>
            <w:sz w:val="18"/>
            <w:szCs w:val="18"/>
          </w:rPr>
          <w:t>10</w:t>
        </w:r>
        <w:r w:rsidR="008D72D8">
          <w:rPr>
            <w:rFonts w:ascii="Arial" w:hAnsi="Arial"/>
            <w:b/>
            <w:sz w:val="18"/>
            <w:szCs w:val="18"/>
          </w:rPr>
          <w:t>4 - 1</w:t>
        </w:r>
      </w:p>
    </w:sdtContent>
  </w:sdt>
  <w:p w14:paraId="263238B6" w14:textId="77777777" w:rsidR="004A1D5C" w:rsidRPr="001E1485" w:rsidRDefault="004A1D5C">
    <w:pPr>
      <w:pStyle w:val="Encabezado"/>
      <w:rPr>
        <w:rFonts w:ascii="Arial" w:hAnsi="Arial"/>
        <w:b/>
        <w:sz w:val="18"/>
        <w:szCs w:val="18"/>
      </w:rPr>
    </w:pPr>
  </w:p>
  <w:p w14:paraId="6FB65FC0" w14:textId="77777777" w:rsidR="004A1D5C" w:rsidRDefault="004A1D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2CC0"/>
    <w:multiLevelType w:val="hybridMultilevel"/>
    <w:tmpl w:val="974A588A"/>
    <w:lvl w:ilvl="0" w:tplc="FA4AB3B0">
      <w:start w:val="1"/>
      <w:numFmt w:val="lowerLetter"/>
      <w:lvlText w:val="%1."/>
      <w:lvlJc w:val="left"/>
      <w:pPr>
        <w:ind w:left="720" w:hanging="360"/>
      </w:pPr>
      <w:rPr>
        <w:sz w:val="18"/>
        <w:szCs w:val="18"/>
        <w:lang w:val="es-CO"/>
      </w:rPr>
    </w:lvl>
    <w:lvl w:ilvl="1" w:tplc="CEB0AF1C">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3C2B06"/>
    <w:multiLevelType w:val="hybridMultilevel"/>
    <w:tmpl w:val="1820DD3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10513F9"/>
    <w:multiLevelType w:val="hybridMultilevel"/>
    <w:tmpl w:val="1FA8DFE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3141993"/>
    <w:multiLevelType w:val="hybridMultilevel"/>
    <w:tmpl w:val="CA2A2B9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33229E3"/>
    <w:multiLevelType w:val="multilevel"/>
    <w:tmpl w:val="85907B4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C835F4"/>
    <w:multiLevelType w:val="hybridMultilevel"/>
    <w:tmpl w:val="BAA017F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94F90"/>
    <w:multiLevelType w:val="hybridMultilevel"/>
    <w:tmpl w:val="4AB698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CB106B"/>
    <w:multiLevelType w:val="hybridMultilevel"/>
    <w:tmpl w:val="A9FCB6AA"/>
    <w:lvl w:ilvl="0" w:tplc="0C94040C">
      <w:start w:val="1"/>
      <w:numFmt w:val="lowerLetter"/>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21335C48"/>
    <w:multiLevelType w:val="hybridMultilevel"/>
    <w:tmpl w:val="18EC6A0E"/>
    <w:lvl w:ilvl="0" w:tplc="240A001B">
      <w:start w:val="1"/>
      <w:numFmt w:val="lowerRoman"/>
      <w:lvlText w:val="%1."/>
      <w:lvlJc w:val="right"/>
      <w:pPr>
        <w:ind w:left="644" w:hanging="360"/>
      </w:pPr>
      <w:rPr>
        <w:rFonts w:hint="default"/>
      </w:rPr>
    </w:lvl>
    <w:lvl w:ilvl="1" w:tplc="240A0003">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9" w15:restartNumberingAfterBreak="0">
    <w:nsid w:val="22096E85"/>
    <w:multiLevelType w:val="hybridMultilevel"/>
    <w:tmpl w:val="7C38D91E"/>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2D509E2"/>
    <w:multiLevelType w:val="hybridMultilevel"/>
    <w:tmpl w:val="A6547D44"/>
    <w:lvl w:ilvl="0" w:tplc="432087AE">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27CB5814"/>
    <w:multiLevelType w:val="hybridMultilevel"/>
    <w:tmpl w:val="2286D614"/>
    <w:lvl w:ilvl="0" w:tplc="8E7A689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D2F307F"/>
    <w:multiLevelType w:val="hybridMultilevel"/>
    <w:tmpl w:val="BAA017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58622FE"/>
    <w:multiLevelType w:val="hybridMultilevel"/>
    <w:tmpl w:val="2CB448EA"/>
    <w:lvl w:ilvl="0" w:tplc="55AC3BDA">
      <w:start w:val="1"/>
      <w:numFmt w:val="lowerRoman"/>
      <w:lvlText w:val="%1."/>
      <w:lvlJc w:val="left"/>
      <w:pPr>
        <w:ind w:left="1211" w:hanging="360"/>
      </w:pPr>
      <w:rPr>
        <w:rFonts w:ascii="Arial" w:eastAsiaTheme="minorHAnsi" w:hAnsi="Arial" w:cs="Arial" w:hint="default"/>
      </w:rPr>
    </w:lvl>
    <w:lvl w:ilvl="1" w:tplc="21B80F6A">
      <w:start w:val="1"/>
      <w:numFmt w:val="lowerRoman"/>
      <w:lvlText w:val="%2."/>
      <w:lvlJc w:val="left"/>
      <w:pPr>
        <w:ind w:left="1931" w:hanging="360"/>
      </w:pPr>
      <w:rPr>
        <w:rFonts w:hint="default"/>
      </w:rPr>
    </w:lvl>
    <w:lvl w:ilvl="2" w:tplc="240A001B">
      <w:start w:val="1"/>
      <w:numFmt w:val="lowerRoman"/>
      <w:lvlText w:val="%3."/>
      <w:lvlJc w:val="right"/>
      <w:pPr>
        <w:ind w:left="2651" w:hanging="180"/>
      </w:pPr>
    </w:lvl>
    <w:lvl w:ilvl="3" w:tplc="240A000F">
      <w:start w:val="1"/>
      <w:numFmt w:val="decimal"/>
      <w:lvlText w:val="%4."/>
      <w:lvlJc w:val="left"/>
      <w:pPr>
        <w:ind w:left="3371" w:hanging="360"/>
      </w:pPr>
    </w:lvl>
    <w:lvl w:ilvl="4" w:tplc="240A0019" w:tentative="1">
      <w:start w:val="1"/>
      <w:numFmt w:val="lowerLetter"/>
      <w:lvlText w:val="%5."/>
      <w:lvlJc w:val="left"/>
      <w:pPr>
        <w:ind w:left="4091" w:hanging="360"/>
      </w:pPr>
    </w:lvl>
    <w:lvl w:ilvl="5" w:tplc="240A001B" w:tentative="1">
      <w:start w:val="1"/>
      <w:numFmt w:val="lowerRoman"/>
      <w:lvlText w:val="%6."/>
      <w:lvlJc w:val="right"/>
      <w:pPr>
        <w:ind w:left="4811" w:hanging="180"/>
      </w:pPr>
    </w:lvl>
    <w:lvl w:ilvl="6" w:tplc="240A000F" w:tentative="1">
      <w:start w:val="1"/>
      <w:numFmt w:val="decimal"/>
      <w:lvlText w:val="%7."/>
      <w:lvlJc w:val="left"/>
      <w:pPr>
        <w:ind w:left="5531" w:hanging="360"/>
      </w:pPr>
    </w:lvl>
    <w:lvl w:ilvl="7" w:tplc="240A0019" w:tentative="1">
      <w:start w:val="1"/>
      <w:numFmt w:val="lowerLetter"/>
      <w:lvlText w:val="%8."/>
      <w:lvlJc w:val="left"/>
      <w:pPr>
        <w:ind w:left="6251" w:hanging="360"/>
      </w:pPr>
    </w:lvl>
    <w:lvl w:ilvl="8" w:tplc="240A001B" w:tentative="1">
      <w:start w:val="1"/>
      <w:numFmt w:val="lowerRoman"/>
      <w:lvlText w:val="%9."/>
      <w:lvlJc w:val="right"/>
      <w:pPr>
        <w:ind w:left="6971" w:hanging="180"/>
      </w:pPr>
    </w:lvl>
  </w:abstractNum>
  <w:abstractNum w:abstractNumId="14" w15:restartNumberingAfterBreak="0">
    <w:nsid w:val="3BBA0ECC"/>
    <w:multiLevelType w:val="multilevel"/>
    <w:tmpl w:val="B7A237B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C25259A"/>
    <w:multiLevelType w:val="hybridMultilevel"/>
    <w:tmpl w:val="F912E642"/>
    <w:lvl w:ilvl="0" w:tplc="CA5224D2">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418B45BD"/>
    <w:multiLevelType w:val="multilevel"/>
    <w:tmpl w:val="2DF8E71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CC7788"/>
    <w:multiLevelType w:val="hybridMultilevel"/>
    <w:tmpl w:val="EBAE2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DAD203C"/>
    <w:multiLevelType w:val="hybridMultilevel"/>
    <w:tmpl w:val="AF40B546"/>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F6F2886"/>
    <w:multiLevelType w:val="hybridMultilevel"/>
    <w:tmpl w:val="20E07C4E"/>
    <w:lvl w:ilvl="0" w:tplc="36407DD0">
      <w:start w:val="1"/>
      <w:numFmt w:val="lowerLetter"/>
      <w:lvlText w:val="%1."/>
      <w:lvlJc w:val="left"/>
      <w:pPr>
        <w:ind w:left="1582" w:hanging="360"/>
      </w:pPr>
      <w:rPr>
        <w:rFonts w:hint="default"/>
      </w:rPr>
    </w:lvl>
    <w:lvl w:ilvl="1" w:tplc="240A0019" w:tentative="1">
      <w:start w:val="1"/>
      <w:numFmt w:val="lowerLetter"/>
      <w:lvlText w:val="%2."/>
      <w:lvlJc w:val="left"/>
      <w:pPr>
        <w:ind w:left="2302" w:hanging="360"/>
      </w:pPr>
    </w:lvl>
    <w:lvl w:ilvl="2" w:tplc="240A001B" w:tentative="1">
      <w:start w:val="1"/>
      <w:numFmt w:val="lowerRoman"/>
      <w:lvlText w:val="%3."/>
      <w:lvlJc w:val="right"/>
      <w:pPr>
        <w:ind w:left="3022" w:hanging="180"/>
      </w:pPr>
    </w:lvl>
    <w:lvl w:ilvl="3" w:tplc="240A000F" w:tentative="1">
      <w:start w:val="1"/>
      <w:numFmt w:val="decimal"/>
      <w:lvlText w:val="%4."/>
      <w:lvlJc w:val="left"/>
      <w:pPr>
        <w:ind w:left="3742" w:hanging="360"/>
      </w:pPr>
    </w:lvl>
    <w:lvl w:ilvl="4" w:tplc="240A0019" w:tentative="1">
      <w:start w:val="1"/>
      <w:numFmt w:val="lowerLetter"/>
      <w:lvlText w:val="%5."/>
      <w:lvlJc w:val="left"/>
      <w:pPr>
        <w:ind w:left="4462" w:hanging="360"/>
      </w:pPr>
    </w:lvl>
    <w:lvl w:ilvl="5" w:tplc="240A001B" w:tentative="1">
      <w:start w:val="1"/>
      <w:numFmt w:val="lowerRoman"/>
      <w:lvlText w:val="%6."/>
      <w:lvlJc w:val="right"/>
      <w:pPr>
        <w:ind w:left="5182" w:hanging="180"/>
      </w:pPr>
    </w:lvl>
    <w:lvl w:ilvl="6" w:tplc="240A000F" w:tentative="1">
      <w:start w:val="1"/>
      <w:numFmt w:val="decimal"/>
      <w:lvlText w:val="%7."/>
      <w:lvlJc w:val="left"/>
      <w:pPr>
        <w:ind w:left="5902" w:hanging="360"/>
      </w:pPr>
    </w:lvl>
    <w:lvl w:ilvl="7" w:tplc="240A0019" w:tentative="1">
      <w:start w:val="1"/>
      <w:numFmt w:val="lowerLetter"/>
      <w:lvlText w:val="%8."/>
      <w:lvlJc w:val="left"/>
      <w:pPr>
        <w:ind w:left="6622" w:hanging="360"/>
      </w:pPr>
    </w:lvl>
    <w:lvl w:ilvl="8" w:tplc="240A001B" w:tentative="1">
      <w:start w:val="1"/>
      <w:numFmt w:val="lowerRoman"/>
      <w:lvlText w:val="%9."/>
      <w:lvlJc w:val="right"/>
      <w:pPr>
        <w:ind w:left="7342" w:hanging="180"/>
      </w:pPr>
    </w:lvl>
  </w:abstractNum>
  <w:abstractNum w:abstractNumId="20" w15:restartNumberingAfterBreak="0">
    <w:nsid w:val="51C776CE"/>
    <w:multiLevelType w:val="multilevel"/>
    <w:tmpl w:val="0D6EA3D4"/>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96301B2"/>
    <w:multiLevelType w:val="hybridMultilevel"/>
    <w:tmpl w:val="2924B02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B05183E"/>
    <w:multiLevelType w:val="hybridMultilevel"/>
    <w:tmpl w:val="F3ACB99A"/>
    <w:lvl w:ilvl="0" w:tplc="DA6E6456">
      <w:start w:val="1"/>
      <w:numFmt w:val="lowerLetter"/>
      <w:lvlText w:val="%1."/>
      <w:lvlJc w:val="left"/>
      <w:pPr>
        <w:ind w:left="720" w:hanging="360"/>
      </w:pPr>
      <w:rPr>
        <w:rFonts w:hint="default"/>
        <w:sz w:val="18"/>
        <w:szCs w:val="18"/>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CE74460"/>
    <w:multiLevelType w:val="hybridMultilevel"/>
    <w:tmpl w:val="78FE38CA"/>
    <w:lvl w:ilvl="0" w:tplc="AA10AFBE">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64043CA9"/>
    <w:multiLevelType w:val="hybridMultilevel"/>
    <w:tmpl w:val="A4585B48"/>
    <w:lvl w:ilvl="0" w:tplc="39BC4A2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676E3898"/>
    <w:multiLevelType w:val="multilevel"/>
    <w:tmpl w:val="79F8C67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83B6710"/>
    <w:multiLevelType w:val="hybridMultilevel"/>
    <w:tmpl w:val="9B024302"/>
    <w:lvl w:ilvl="0" w:tplc="CE5AD64C">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A4E08F4"/>
    <w:multiLevelType w:val="hybridMultilevel"/>
    <w:tmpl w:val="4AB69846"/>
    <w:lvl w:ilvl="0" w:tplc="0D6EAB1E">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13D7799"/>
    <w:multiLevelType w:val="hybridMultilevel"/>
    <w:tmpl w:val="15000A7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3D621A2"/>
    <w:multiLevelType w:val="hybridMultilevel"/>
    <w:tmpl w:val="FCDC2318"/>
    <w:lvl w:ilvl="0" w:tplc="C0E81A72">
      <w:start w:val="1"/>
      <w:numFmt w:val="lowerRoman"/>
      <w:lvlText w:val="%1."/>
      <w:lvlJc w:val="left"/>
      <w:pPr>
        <w:ind w:left="928" w:hanging="360"/>
      </w:pPr>
      <w:rPr>
        <w:rFonts w:ascii="Arial" w:eastAsiaTheme="minorHAnsi" w:hAnsi="Arial" w:cs="Aria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0" w15:restartNumberingAfterBreak="0">
    <w:nsid w:val="74830CFE"/>
    <w:multiLevelType w:val="hybridMultilevel"/>
    <w:tmpl w:val="4AB6984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3972317">
    <w:abstractNumId w:val="4"/>
  </w:num>
  <w:num w:numId="2" w16cid:durableId="834608986">
    <w:abstractNumId w:val="26"/>
  </w:num>
  <w:num w:numId="3" w16cid:durableId="622999789">
    <w:abstractNumId w:val="24"/>
  </w:num>
  <w:num w:numId="4" w16cid:durableId="882205961">
    <w:abstractNumId w:val="23"/>
  </w:num>
  <w:num w:numId="5" w16cid:durableId="332685574">
    <w:abstractNumId w:val="15"/>
  </w:num>
  <w:num w:numId="6" w16cid:durableId="230624740">
    <w:abstractNumId w:val="10"/>
  </w:num>
  <w:num w:numId="7" w16cid:durableId="182672528">
    <w:abstractNumId w:val="11"/>
  </w:num>
  <w:num w:numId="8" w16cid:durableId="1371034829">
    <w:abstractNumId w:val="27"/>
  </w:num>
  <w:num w:numId="9" w16cid:durableId="1768109968">
    <w:abstractNumId w:val="22"/>
  </w:num>
  <w:num w:numId="10" w16cid:durableId="873426800">
    <w:abstractNumId w:val="17"/>
  </w:num>
  <w:num w:numId="11" w16cid:durableId="1563372289">
    <w:abstractNumId w:val="9"/>
  </w:num>
  <w:num w:numId="12" w16cid:durableId="1586301955">
    <w:abstractNumId w:val="0"/>
  </w:num>
  <w:num w:numId="13" w16cid:durableId="160317973">
    <w:abstractNumId w:val="13"/>
  </w:num>
  <w:num w:numId="14" w16cid:durableId="1849103437">
    <w:abstractNumId w:val="3"/>
  </w:num>
  <w:num w:numId="15" w16cid:durableId="2125615938">
    <w:abstractNumId w:val="8"/>
  </w:num>
  <w:num w:numId="16" w16cid:durableId="1184512430">
    <w:abstractNumId w:val="29"/>
  </w:num>
  <w:num w:numId="17" w16cid:durableId="164905100">
    <w:abstractNumId w:val="28"/>
  </w:num>
  <w:num w:numId="18" w16cid:durableId="462045201">
    <w:abstractNumId w:val="19"/>
  </w:num>
  <w:num w:numId="19" w16cid:durableId="773283216">
    <w:abstractNumId w:val="20"/>
  </w:num>
  <w:num w:numId="20" w16cid:durableId="1287159411">
    <w:abstractNumId w:val="14"/>
  </w:num>
  <w:num w:numId="21" w16cid:durableId="1053692951">
    <w:abstractNumId w:val="25"/>
  </w:num>
  <w:num w:numId="22" w16cid:durableId="2038459825">
    <w:abstractNumId w:val="16"/>
  </w:num>
  <w:num w:numId="23" w16cid:durableId="328026526">
    <w:abstractNumId w:val="6"/>
  </w:num>
  <w:num w:numId="24" w16cid:durableId="244000622">
    <w:abstractNumId w:val="18"/>
  </w:num>
  <w:num w:numId="25" w16cid:durableId="1799567503">
    <w:abstractNumId w:val="21"/>
  </w:num>
  <w:num w:numId="26" w16cid:durableId="84769626">
    <w:abstractNumId w:val="7"/>
  </w:num>
  <w:num w:numId="27" w16cid:durableId="1597863799">
    <w:abstractNumId w:val="12"/>
  </w:num>
  <w:num w:numId="28" w16cid:durableId="770710808">
    <w:abstractNumId w:val="30"/>
  </w:num>
  <w:num w:numId="29" w16cid:durableId="1963219501">
    <w:abstractNumId w:val="1"/>
  </w:num>
  <w:num w:numId="30" w16cid:durableId="1962414734">
    <w:abstractNumId w:val="2"/>
  </w:num>
  <w:num w:numId="31" w16cid:durableId="253630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F92"/>
    <w:rsid w:val="0000109C"/>
    <w:rsid w:val="0000311D"/>
    <w:rsid w:val="00003588"/>
    <w:rsid w:val="00003BB4"/>
    <w:rsid w:val="0000445A"/>
    <w:rsid w:val="0000563E"/>
    <w:rsid w:val="00007E8D"/>
    <w:rsid w:val="00010849"/>
    <w:rsid w:val="000113C7"/>
    <w:rsid w:val="0001155E"/>
    <w:rsid w:val="00011F18"/>
    <w:rsid w:val="000120EB"/>
    <w:rsid w:val="00012192"/>
    <w:rsid w:val="00013489"/>
    <w:rsid w:val="00013B14"/>
    <w:rsid w:val="00013F40"/>
    <w:rsid w:val="00015716"/>
    <w:rsid w:val="00015795"/>
    <w:rsid w:val="00016E66"/>
    <w:rsid w:val="000175DD"/>
    <w:rsid w:val="00017C29"/>
    <w:rsid w:val="00020087"/>
    <w:rsid w:val="00020371"/>
    <w:rsid w:val="00020D26"/>
    <w:rsid w:val="000218BF"/>
    <w:rsid w:val="00022E17"/>
    <w:rsid w:val="00024958"/>
    <w:rsid w:val="00024A60"/>
    <w:rsid w:val="00024AA0"/>
    <w:rsid w:val="00024D71"/>
    <w:rsid w:val="00026226"/>
    <w:rsid w:val="000264D7"/>
    <w:rsid w:val="00026541"/>
    <w:rsid w:val="00026B5B"/>
    <w:rsid w:val="00026DB3"/>
    <w:rsid w:val="00031179"/>
    <w:rsid w:val="000318E4"/>
    <w:rsid w:val="00032E68"/>
    <w:rsid w:val="00032F17"/>
    <w:rsid w:val="00033384"/>
    <w:rsid w:val="00033935"/>
    <w:rsid w:val="00033E03"/>
    <w:rsid w:val="000347F6"/>
    <w:rsid w:val="00034DED"/>
    <w:rsid w:val="00034E87"/>
    <w:rsid w:val="00035240"/>
    <w:rsid w:val="00035945"/>
    <w:rsid w:val="00035AAE"/>
    <w:rsid w:val="00035BB4"/>
    <w:rsid w:val="00036F79"/>
    <w:rsid w:val="00040A7D"/>
    <w:rsid w:val="00042439"/>
    <w:rsid w:val="00043157"/>
    <w:rsid w:val="00043406"/>
    <w:rsid w:val="00043673"/>
    <w:rsid w:val="000437DF"/>
    <w:rsid w:val="000439C9"/>
    <w:rsid w:val="00043E18"/>
    <w:rsid w:val="00043E28"/>
    <w:rsid w:val="00046635"/>
    <w:rsid w:val="00046C7E"/>
    <w:rsid w:val="00046CB3"/>
    <w:rsid w:val="00046F5F"/>
    <w:rsid w:val="000478D1"/>
    <w:rsid w:val="0005170B"/>
    <w:rsid w:val="0005367D"/>
    <w:rsid w:val="000565F2"/>
    <w:rsid w:val="00057FD9"/>
    <w:rsid w:val="00061E5C"/>
    <w:rsid w:val="00062609"/>
    <w:rsid w:val="00064197"/>
    <w:rsid w:val="00064E8E"/>
    <w:rsid w:val="00064FE3"/>
    <w:rsid w:val="000668E0"/>
    <w:rsid w:val="00067441"/>
    <w:rsid w:val="000702E4"/>
    <w:rsid w:val="00072B03"/>
    <w:rsid w:val="00073D96"/>
    <w:rsid w:val="00075C7E"/>
    <w:rsid w:val="000851B2"/>
    <w:rsid w:val="00086077"/>
    <w:rsid w:val="0009076A"/>
    <w:rsid w:val="00090E05"/>
    <w:rsid w:val="00095AAC"/>
    <w:rsid w:val="00095FFE"/>
    <w:rsid w:val="00096871"/>
    <w:rsid w:val="00096A0A"/>
    <w:rsid w:val="000A02D0"/>
    <w:rsid w:val="000A325F"/>
    <w:rsid w:val="000A3658"/>
    <w:rsid w:val="000A465F"/>
    <w:rsid w:val="000A5D39"/>
    <w:rsid w:val="000B0E54"/>
    <w:rsid w:val="000B127E"/>
    <w:rsid w:val="000B14CE"/>
    <w:rsid w:val="000B16E5"/>
    <w:rsid w:val="000B31A5"/>
    <w:rsid w:val="000B32D0"/>
    <w:rsid w:val="000B42D1"/>
    <w:rsid w:val="000B4D08"/>
    <w:rsid w:val="000B5D6F"/>
    <w:rsid w:val="000B6A1F"/>
    <w:rsid w:val="000C1471"/>
    <w:rsid w:val="000C2B88"/>
    <w:rsid w:val="000C36B3"/>
    <w:rsid w:val="000C4EB4"/>
    <w:rsid w:val="000C5203"/>
    <w:rsid w:val="000C669E"/>
    <w:rsid w:val="000C6AA3"/>
    <w:rsid w:val="000C7365"/>
    <w:rsid w:val="000C7FCF"/>
    <w:rsid w:val="000D2AC0"/>
    <w:rsid w:val="000D2ADC"/>
    <w:rsid w:val="000D3308"/>
    <w:rsid w:val="000D4A08"/>
    <w:rsid w:val="000D5552"/>
    <w:rsid w:val="000D69CF"/>
    <w:rsid w:val="000E241C"/>
    <w:rsid w:val="000E3F69"/>
    <w:rsid w:val="000E40DF"/>
    <w:rsid w:val="000E42C5"/>
    <w:rsid w:val="000E4848"/>
    <w:rsid w:val="000E618E"/>
    <w:rsid w:val="000E65C7"/>
    <w:rsid w:val="000E6FE9"/>
    <w:rsid w:val="000F1AE8"/>
    <w:rsid w:val="000F225E"/>
    <w:rsid w:val="000F50A2"/>
    <w:rsid w:val="000F58B6"/>
    <w:rsid w:val="000F6A60"/>
    <w:rsid w:val="00100151"/>
    <w:rsid w:val="00100D99"/>
    <w:rsid w:val="00101E75"/>
    <w:rsid w:val="0010321F"/>
    <w:rsid w:val="00103F8B"/>
    <w:rsid w:val="001041CA"/>
    <w:rsid w:val="001041D5"/>
    <w:rsid w:val="00104323"/>
    <w:rsid w:val="00104736"/>
    <w:rsid w:val="001047E1"/>
    <w:rsid w:val="00104BCA"/>
    <w:rsid w:val="00105766"/>
    <w:rsid w:val="00105A98"/>
    <w:rsid w:val="00105E88"/>
    <w:rsid w:val="0010617A"/>
    <w:rsid w:val="00106239"/>
    <w:rsid w:val="00107BDF"/>
    <w:rsid w:val="00107FED"/>
    <w:rsid w:val="0011054C"/>
    <w:rsid w:val="00112284"/>
    <w:rsid w:val="0011292D"/>
    <w:rsid w:val="001134FE"/>
    <w:rsid w:val="001140AD"/>
    <w:rsid w:val="001204FD"/>
    <w:rsid w:val="00120B48"/>
    <w:rsid w:val="00121493"/>
    <w:rsid w:val="00121C11"/>
    <w:rsid w:val="001220F5"/>
    <w:rsid w:val="00122911"/>
    <w:rsid w:val="00122A3D"/>
    <w:rsid w:val="001238AB"/>
    <w:rsid w:val="00124F3A"/>
    <w:rsid w:val="0012598E"/>
    <w:rsid w:val="001260DB"/>
    <w:rsid w:val="00127A3E"/>
    <w:rsid w:val="00131D37"/>
    <w:rsid w:val="001322BB"/>
    <w:rsid w:val="00132828"/>
    <w:rsid w:val="00134ECB"/>
    <w:rsid w:val="00136264"/>
    <w:rsid w:val="00137C81"/>
    <w:rsid w:val="001408ED"/>
    <w:rsid w:val="00140EDB"/>
    <w:rsid w:val="001419A1"/>
    <w:rsid w:val="0014206E"/>
    <w:rsid w:val="00142B54"/>
    <w:rsid w:val="0014360A"/>
    <w:rsid w:val="00144EE3"/>
    <w:rsid w:val="0014562F"/>
    <w:rsid w:val="001467DF"/>
    <w:rsid w:val="001471FE"/>
    <w:rsid w:val="00147374"/>
    <w:rsid w:val="00150029"/>
    <w:rsid w:val="00151286"/>
    <w:rsid w:val="0015332C"/>
    <w:rsid w:val="00154723"/>
    <w:rsid w:val="00155EC5"/>
    <w:rsid w:val="001563F6"/>
    <w:rsid w:val="0015757E"/>
    <w:rsid w:val="001577EA"/>
    <w:rsid w:val="00157A95"/>
    <w:rsid w:val="00160242"/>
    <w:rsid w:val="00160329"/>
    <w:rsid w:val="00160661"/>
    <w:rsid w:val="00160940"/>
    <w:rsid w:val="00161096"/>
    <w:rsid w:val="00162056"/>
    <w:rsid w:val="00163527"/>
    <w:rsid w:val="00163D25"/>
    <w:rsid w:val="00164773"/>
    <w:rsid w:val="001654C5"/>
    <w:rsid w:val="001702BD"/>
    <w:rsid w:val="001705BF"/>
    <w:rsid w:val="00170994"/>
    <w:rsid w:val="00172AF9"/>
    <w:rsid w:val="00173D87"/>
    <w:rsid w:val="00174460"/>
    <w:rsid w:val="001753A4"/>
    <w:rsid w:val="00180DBA"/>
    <w:rsid w:val="00181320"/>
    <w:rsid w:val="0018135C"/>
    <w:rsid w:val="00183704"/>
    <w:rsid w:val="00191322"/>
    <w:rsid w:val="00191DA9"/>
    <w:rsid w:val="00192057"/>
    <w:rsid w:val="001920F1"/>
    <w:rsid w:val="00192E56"/>
    <w:rsid w:val="00194F60"/>
    <w:rsid w:val="00195B9C"/>
    <w:rsid w:val="001961B8"/>
    <w:rsid w:val="00196494"/>
    <w:rsid w:val="001A05C4"/>
    <w:rsid w:val="001A185B"/>
    <w:rsid w:val="001A1B31"/>
    <w:rsid w:val="001A2792"/>
    <w:rsid w:val="001A42E7"/>
    <w:rsid w:val="001A4BA2"/>
    <w:rsid w:val="001A4D51"/>
    <w:rsid w:val="001A5B4F"/>
    <w:rsid w:val="001A7365"/>
    <w:rsid w:val="001A7A7C"/>
    <w:rsid w:val="001A7A9D"/>
    <w:rsid w:val="001B04C2"/>
    <w:rsid w:val="001B16D4"/>
    <w:rsid w:val="001B1918"/>
    <w:rsid w:val="001B2942"/>
    <w:rsid w:val="001B3A02"/>
    <w:rsid w:val="001B4CEA"/>
    <w:rsid w:val="001B577C"/>
    <w:rsid w:val="001B61FF"/>
    <w:rsid w:val="001B6733"/>
    <w:rsid w:val="001B7338"/>
    <w:rsid w:val="001C161A"/>
    <w:rsid w:val="001C2C9B"/>
    <w:rsid w:val="001C32FE"/>
    <w:rsid w:val="001C35E4"/>
    <w:rsid w:val="001C5485"/>
    <w:rsid w:val="001C6000"/>
    <w:rsid w:val="001C6A13"/>
    <w:rsid w:val="001D0A0F"/>
    <w:rsid w:val="001D199F"/>
    <w:rsid w:val="001D1EFA"/>
    <w:rsid w:val="001D3F8E"/>
    <w:rsid w:val="001D4F70"/>
    <w:rsid w:val="001D5BF3"/>
    <w:rsid w:val="001D606B"/>
    <w:rsid w:val="001D6174"/>
    <w:rsid w:val="001E01AD"/>
    <w:rsid w:val="001E01C5"/>
    <w:rsid w:val="001E062C"/>
    <w:rsid w:val="001E0F69"/>
    <w:rsid w:val="001E294A"/>
    <w:rsid w:val="001E2D9F"/>
    <w:rsid w:val="001E4430"/>
    <w:rsid w:val="001E4F53"/>
    <w:rsid w:val="001E7E34"/>
    <w:rsid w:val="001F01E9"/>
    <w:rsid w:val="001F0F96"/>
    <w:rsid w:val="001F2494"/>
    <w:rsid w:val="001F2A37"/>
    <w:rsid w:val="001F3E7E"/>
    <w:rsid w:val="001F4483"/>
    <w:rsid w:val="001F4B3E"/>
    <w:rsid w:val="001F7BF5"/>
    <w:rsid w:val="001F7E1C"/>
    <w:rsid w:val="0020023E"/>
    <w:rsid w:val="002010AF"/>
    <w:rsid w:val="0020158E"/>
    <w:rsid w:val="00202CE6"/>
    <w:rsid w:val="00203A04"/>
    <w:rsid w:val="00204155"/>
    <w:rsid w:val="00206389"/>
    <w:rsid w:val="00206CC5"/>
    <w:rsid w:val="0020700B"/>
    <w:rsid w:val="00207323"/>
    <w:rsid w:val="00207764"/>
    <w:rsid w:val="0021101D"/>
    <w:rsid w:val="00212470"/>
    <w:rsid w:val="00212AAA"/>
    <w:rsid w:val="00213563"/>
    <w:rsid w:val="002144D6"/>
    <w:rsid w:val="00214E56"/>
    <w:rsid w:val="002164F9"/>
    <w:rsid w:val="0021685C"/>
    <w:rsid w:val="00217D2F"/>
    <w:rsid w:val="002203B3"/>
    <w:rsid w:val="002208A6"/>
    <w:rsid w:val="00220F72"/>
    <w:rsid w:val="0022192B"/>
    <w:rsid w:val="00221C9A"/>
    <w:rsid w:val="00222667"/>
    <w:rsid w:val="002227EA"/>
    <w:rsid w:val="00222D67"/>
    <w:rsid w:val="00223661"/>
    <w:rsid w:val="0022448C"/>
    <w:rsid w:val="00224597"/>
    <w:rsid w:val="0022559C"/>
    <w:rsid w:val="002305E6"/>
    <w:rsid w:val="002309FD"/>
    <w:rsid w:val="00231809"/>
    <w:rsid w:val="00232876"/>
    <w:rsid w:val="0023299F"/>
    <w:rsid w:val="00232F8A"/>
    <w:rsid w:val="00233F41"/>
    <w:rsid w:val="002345A5"/>
    <w:rsid w:val="00235835"/>
    <w:rsid w:val="0023629C"/>
    <w:rsid w:val="00236CD0"/>
    <w:rsid w:val="002377BF"/>
    <w:rsid w:val="00240F17"/>
    <w:rsid w:val="00241394"/>
    <w:rsid w:val="00241A83"/>
    <w:rsid w:val="00242029"/>
    <w:rsid w:val="002420D2"/>
    <w:rsid w:val="002421AC"/>
    <w:rsid w:val="002425F6"/>
    <w:rsid w:val="00242FE5"/>
    <w:rsid w:val="00243EFD"/>
    <w:rsid w:val="0024504A"/>
    <w:rsid w:val="00245345"/>
    <w:rsid w:val="00245735"/>
    <w:rsid w:val="00245913"/>
    <w:rsid w:val="00245B09"/>
    <w:rsid w:val="002460CD"/>
    <w:rsid w:val="00246320"/>
    <w:rsid w:val="0025034D"/>
    <w:rsid w:val="0025086A"/>
    <w:rsid w:val="0025110B"/>
    <w:rsid w:val="0025441F"/>
    <w:rsid w:val="0025474E"/>
    <w:rsid w:val="002573CF"/>
    <w:rsid w:val="0025793A"/>
    <w:rsid w:val="00260015"/>
    <w:rsid w:val="00261379"/>
    <w:rsid w:val="0026138C"/>
    <w:rsid w:val="00261A82"/>
    <w:rsid w:val="00262820"/>
    <w:rsid w:val="00262E75"/>
    <w:rsid w:val="002644D5"/>
    <w:rsid w:val="00265AF9"/>
    <w:rsid w:val="00266701"/>
    <w:rsid w:val="00266B9C"/>
    <w:rsid w:val="00271F75"/>
    <w:rsid w:val="00272C5C"/>
    <w:rsid w:val="00272E5D"/>
    <w:rsid w:val="002737B1"/>
    <w:rsid w:val="00275A0B"/>
    <w:rsid w:val="00276719"/>
    <w:rsid w:val="002775C7"/>
    <w:rsid w:val="002805AF"/>
    <w:rsid w:val="0028094F"/>
    <w:rsid w:val="00282112"/>
    <w:rsid w:val="002829B9"/>
    <w:rsid w:val="00282EE0"/>
    <w:rsid w:val="002833E0"/>
    <w:rsid w:val="0028356D"/>
    <w:rsid w:val="00283C73"/>
    <w:rsid w:val="00283E62"/>
    <w:rsid w:val="00284B02"/>
    <w:rsid w:val="002856B1"/>
    <w:rsid w:val="00286004"/>
    <w:rsid w:val="00287DE7"/>
    <w:rsid w:val="00290048"/>
    <w:rsid w:val="00291A54"/>
    <w:rsid w:val="00291BAD"/>
    <w:rsid w:val="00293460"/>
    <w:rsid w:val="00293C56"/>
    <w:rsid w:val="0029528A"/>
    <w:rsid w:val="00295C2D"/>
    <w:rsid w:val="00296CDB"/>
    <w:rsid w:val="002A2EB9"/>
    <w:rsid w:val="002A5F92"/>
    <w:rsid w:val="002A6500"/>
    <w:rsid w:val="002A69E5"/>
    <w:rsid w:val="002A6B30"/>
    <w:rsid w:val="002A7A62"/>
    <w:rsid w:val="002B0CBE"/>
    <w:rsid w:val="002B112A"/>
    <w:rsid w:val="002B19BB"/>
    <w:rsid w:val="002B1B2A"/>
    <w:rsid w:val="002B2A5C"/>
    <w:rsid w:val="002B35C8"/>
    <w:rsid w:val="002B4193"/>
    <w:rsid w:val="002B5340"/>
    <w:rsid w:val="002B5AC8"/>
    <w:rsid w:val="002C1D39"/>
    <w:rsid w:val="002C27B1"/>
    <w:rsid w:val="002C364C"/>
    <w:rsid w:val="002C473B"/>
    <w:rsid w:val="002C5181"/>
    <w:rsid w:val="002C6A7D"/>
    <w:rsid w:val="002C7754"/>
    <w:rsid w:val="002D148E"/>
    <w:rsid w:val="002D1602"/>
    <w:rsid w:val="002D1EFF"/>
    <w:rsid w:val="002D2211"/>
    <w:rsid w:val="002D3396"/>
    <w:rsid w:val="002D366B"/>
    <w:rsid w:val="002D4F16"/>
    <w:rsid w:val="002D637A"/>
    <w:rsid w:val="002D661F"/>
    <w:rsid w:val="002E0AA9"/>
    <w:rsid w:val="002E1EE9"/>
    <w:rsid w:val="002E20B8"/>
    <w:rsid w:val="002E26D8"/>
    <w:rsid w:val="002E2DF0"/>
    <w:rsid w:val="002E3DB6"/>
    <w:rsid w:val="002E4519"/>
    <w:rsid w:val="002E5DA9"/>
    <w:rsid w:val="002E72EE"/>
    <w:rsid w:val="002E7439"/>
    <w:rsid w:val="002E7838"/>
    <w:rsid w:val="002E7B69"/>
    <w:rsid w:val="002F15EF"/>
    <w:rsid w:val="002F2686"/>
    <w:rsid w:val="002F2C00"/>
    <w:rsid w:val="002F3306"/>
    <w:rsid w:val="002F35D1"/>
    <w:rsid w:val="002F3F21"/>
    <w:rsid w:val="002F5C40"/>
    <w:rsid w:val="002F7486"/>
    <w:rsid w:val="002F74CA"/>
    <w:rsid w:val="002F7A02"/>
    <w:rsid w:val="003004AB"/>
    <w:rsid w:val="003015BE"/>
    <w:rsid w:val="00301AC1"/>
    <w:rsid w:val="00301F3F"/>
    <w:rsid w:val="00302823"/>
    <w:rsid w:val="00303712"/>
    <w:rsid w:val="003041BE"/>
    <w:rsid w:val="00305160"/>
    <w:rsid w:val="00305A44"/>
    <w:rsid w:val="00305F8A"/>
    <w:rsid w:val="00306A31"/>
    <w:rsid w:val="00306BDB"/>
    <w:rsid w:val="00307D0F"/>
    <w:rsid w:val="0031033B"/>
    <w:rsid w:val="003105D7"/>
    <w:rsid w:val="00310A72"/>
    <w:rsid w:val="00310B4C"/>
    <w:rsid w:val="00311A06"/>
    <w:rsid w:val="00312124"/>
    <w:rsid w:val="00312823"/>
    <w:rsid w:val="00312A19"/>
    <w:rsid w:val="00313623"/>
    <w:rsid w:val="00313715"/>
    <w:rsid w:val="00315991"/>
    <w:rsid w:val="003167BE"/>
    <w:rsid w:val="00317408"/>
    <w:rsid w:val="00317853"/>
    <w:rsid w:val="003210AC"/>
    <w:rsid w:val="003212C0"/>
    <w:rsid w:val="00322359"/>
    <w:rsid w:val="00323EC9"/>
    <w:rsid w:val="00324320"/>
    <w:rsid w:val="00325FDF"/>
    <w:rsid w:val="003261F2"/>
    <w:rsid w:val="003278BA"/>
    <w:rsid w:val="00327BC7"/>
    <w:rsid w:val="00330AD9"/>
    <w:rsid w:val="00333856"/>
    <w:rsid w:val="00333EAC"/>
    <w:rsid w:val="00333F07"/>
    <w:rsid w:val="0033446A"/>
    <w:rsid w:val="00334B66"/>
    <w:rsid w:val="00334EAE"/>
    <w:rsid w:val="00334F98"/>
    <w:rsid w:val="003353E3"/>
    <w:rsid w:val="00335C2D"/>
    <w:rsid w:val="00336353"/>
    <w:rsid w:val="00337A04"/>
    <w:rsid w:val="00340353"/>
    <w:rsid w:val="0034114B"/>
    <w:rsid w:val="003413FF"/>
    <w:rsid w:val="003419AB"/>
    <w:rsid w:val="003426F3"/>
    <w:rsid w:val="00342C5C"/>
    <w:rsid w:val="00343000"/>
    <w:rsid w:val="0034514B"/>
    <w:rsid w:val="003475B9"/>
    <w:rsid w:val="00351C25"/>
    <w:rsid w:val="00352B99"/>
    <w:rsid w:val="00353037"/>
    <w:rsid w:val="00354580"/>
    <w:rsid w:val="00354613"/>
    <w:rsid w:val="00354CE9"/>
    <w:rsid w:val="003550D5"/>
    <w:rsid w:val="003576BB"/>
    <w:rsid w:val="00360499"/>
    <w:rsid w:val="00362A67"/>
    <w:rsid w:val="003635BD"/>
    <w:rsid w:val="00363768"/>
    <w:rsid w:val="003638CB"/>
    <w:rsid w:val="00363AE8"/>
    <w:rsid w:val="00364C8F"/>
    <w:rsid w:val="0037236F"/>
    <w:rsid w:val="00372EE3"/>
    <w:rsid w:val="00374DA6"/>
    <w:rsid w:val="00374FFE"/>
    <w:rsid w:val="00377A48"/>
    <w:rsid w:val="00377D32"/>
    <w:rsid w:val="00381C1A"/>
    <w:rsid w:val="00382ACA"/>
    <w:rsid w:val="00382C07"/>
    <w:rsid w:val="0038316E"/>
    <w:rsid w:val="0038350F"/>
    <w:rsid w:val="00385D64"/>
    <w:rsid w:val="003862FF"/>
    <w:rsid w:val="00386732"/>
    <w:rsid w:val="00386C8C"/>
    <w:rsid w:val="0038713D"/>
    <w:rsid w:val="003873B4"/>
    <w:rsid w:val="003903D6"/>
    <w:rsid w:val="003914DD"/>
    <w:rsid w:val="00394771"/>
    <w:rsid w:val="00394BC0"/>
    <w:rsid w:val="003A0874"/>
    <w:rsid w:val="003A1274"/>
    <w:rsid w:val="003A1384"/>
    <w:rsid w:val="003A19D0"/>
    <w:rsid w:val="003A38D7"/>
    <w:rsid w:val="003A3F63"/>
    <w:rsid w:val="003A4847"/>
    <w:rsid w:val="003A4E45"/>
    <w:rsid w:val="003A666C"/>
    <w:rsid w:val="003A767A"/>
    <w:rsid w:val="003B08C0"/>
    <w:rsid w:val="003B41A4"/>
    <w:rsid w:val="003B541A"/>
    <w:rsid w:val="003B6FE6"/>
    <w:rsid w:val="003B718E"/>
    <w:rsid w:val="003B7657"/>
    <w:rsid w:val="003B7E86"/>
    <w:rsid w:val="003C03FD"/>
    <w:rsid w:val="003C0B66"/>
    <w:rsid w:val="003C0C8F"/>
    <w:rsid w:val="003C0EBE"/>
    <w:rsid w:val="003C1355"/>
    <w:rsid w:val="003C2531"/>
    <w:rsid w:val="003C2B06"/>
    <w:rsid w:val="003C30C4"/>
    <w:rsid w:val="003C38D4"/>
    <w:rsid w:val="003C4C15"/>
    <w:rsid w:val="003C51A8"/>
    <w:rsid w:val="003C52E8"/>
    <w:rsid w:val="003C5389"/>
    <w:rsid w:val="003C5BE9"/>
    <w:rsid w:val="003C61F2"/>
    <w:rsid w:val="003C675B"/>
    <w:rsid w:val="003D0729"/>
    <w:rsid w:val="003D12F4"/>
    <w:rsid w:val="003D16C0"/>
    <w:rsid w:val="003D1D9A"/>
    <w:rsid w:val="003D323A"/>
    <w:rsid w:val="003D41BB"/>
    <w:rsid w:val="003D4C74"/>
    <w:rsid w:val="003D4D4A"/>
    <w:rsid w:val="003D55B4"/>
    <w:rsid w:val="003D5870"/>
    <w:rsid w:val="003D6B88"/>
    <w:rsid w:val="003D6C85"/>
    <w:rsid w:val="003D7104"/>
    <w:rsid w:val="003D7396"/>
    <w:rsid w:val="003E2708"/>
    <w:rsid w:val="003E42BA"/>
    <w:rsid w:val="003E44F9"/>
    <w:rsid w:val="003E4A2F"/>
    <w:rsid w:val="003E5489"/>
    <w:rsid w:val="003E58DA"/>
    <w:rsid w:val="003E78C7"/>
    <w:rsid w:val="003F1032"/>
    <w:rsid w:val="003F1156"/>
    <w:rsid w:val="003F1B84"/>
    <w:rsid w:val="003F206C"/>
    <w:rsid w:val="003F2DF5"/>
    <w:rsid w:val="003F5CC5"/>
    <w:rsid w:val="003F5EA6"/>
    <w:rsid w:val="00400317"/>
    <w:rsid w:val="0040129B"/>
    <w:rsid w:val="00401E59"/>
    <w:rsid w:val="00401F12"/>
    <w:rsid w:val="0040280F"/>
    <w:rsid w:val="0040338E"/>
    <w:rsid w:val="00403F88"/>
    <w:rsid w:val="00404624"/>
    <w:rsid w:val="004073B8"/>
    <w:rsid w:val="0041029D"/>
    <w:rsid w:val="00414BE7"/>
    <w:rsid w:val="004153C7"/>
    <w:rsid w:val="0041654A"/>
    <w:rsid w:val="004202ED"/>
    <w:rsid w:val="0042032F"/>
    <w:rsid w:val="00420586"/>
    <w:rsid w:val="0042165E"/>
    <w:rsid w:val="00422D20"/>
    <w:rsid w:val="00422E39"/>
    <w:rsid w:val="0042486C"/>
    <w:rsid w:val="00425295"/>
    <w:rsid w:val="0042556B"/>
    <w:rsid w:val="00427256"/>
    <w:rsid w:val="00427902"/>
    <w:rsid w:val="00427912"/>
    <w:rsid w:val="004319CD"/>
    <w:rsid w:val="004347CC"/>
    <w:rsid w:val="00437074"/>
    <w:rsid w:val="00440263"/>
    <w:rsid w:val="0044073D"/>
    <w:rsid w:val="00440BA9"/>
    <w:rsid w:val="00440C78"/>
    <w:rsid w:val="00441398"/>
    <w:rsid w:val="00441CAA"/>
    <w:rsid w:val="00443FA1"/>
    <w:rsid w:val="0044439C"/>
    <w:rsid w:val="00444AE9"/>
    <w:rsid w:val="00444D92"/>
    <w:rsid w:val="00445EED"/>
    <w:rsid w:val="004471C0"/>
    <w:rsid w:val="00450485"/>
    <w:rsid w:val="00450724"/>
    <w:rsid w:val="00450A41"/>
    <w:rsid w:val="0045136A"/>
    <w:rsid w:val="00451F0F"/>
    <w:rsid w:val="00452201"/>
    <w:rsid w:val="00454FA5"/>
    <w:rsid w:val="00456A52"/>
    <w:rsid w:val="004575B1"/>
    <w:rsid w:val="00460540"/>
    <w:rsid w:val="00460FBF"/>
    <w:rsid w:val="00461723"/>
    <w:rsid w:val="00461E19"/>
    <w:rsid w:val="004620F5"/>
    <w:rsid w:val="00462F9A"/>
    <w:rsid w:val="0046326C"/>
    <w:rsid w:val="00463429"/>
    <w:rsid w:val="004644D5"/>
    <w:rsid w:val="00464526"/>
    <w:rsid w:val="00464EAC"/>
    <w:rsid w:val="0046592C"/>
    <w:rsid w:val="00466FD2"/>
    <w:rsid w:val="00467442"/>
    <w:rsid w:val="00467A99"/>
    <w:rsid w:val="00470383"/>
    <w:rsid w:val="00470AEB"/>
    <w:rsid w:val="00470FE1"/>
    <w:rsid w:val="00471C4E"/>
    <w:rsid w:val="00473C45"/>
    <w:rsid w:val="00473D27"/>
    <w:rsid w:val="00474BC9"/>
    <w:rsid w:val="004760B1"/>
    <w:rsid w:val="004768A1"/>
    <w:rsid w:val="00476E3E"/>
    <w:rsid w:val="0047723B"/>
    <w:rsid w:val="00477A7A"/>
    <w:rsid w:val="00477A8C"/>
    <w:rsid w:val="00480D0C"/>
    <w:rsid w:val="00480E91"/>
    <w:rsid w:val="004813B5"/>
    <w:rsid w:val="00481E50"/>
    <w:rsid w:val="004820F4"/>
    <w:rsid w:val="00482CA5"/>
    <w:rsid w:val="00483E9B"/>
    <w:rsid w:val="00484715"/>
    <w:rsid w:val="00484E6B"/>
    <w:rsid w:val="004855FD"/>
    <w:rsid w:val="00485B96"/>
    <w:rsid w:val="00486F0B"/>
    <w:rsid w:val="00487E53"/>
    <w:rsid w:val="004902AD"/>
    <w:rsid w:val="0049270D"/>
    <w:rsid w:val="00493262"/>
    <w:rsid w:val="00493325"/>
    <w:rsid w:val="00493EDF"/>
    <w:rsid w:val="0049526E"/>
    <w:rsid w:val="00497DEF"/>
    <w:rsid w:val="004A0404"/>
    <w:rsid w:val="004A179D"/>
    <w:rsid w:val="004A1A8D"/>
    <w:rsid w:val="004A1D5C"/>
    <w:rsid w:val="004A4226"/>
    <w:rsid w:val="004A5029"/>
    <w:rsid w:val="004A6370"/>
    <w:rsid w:val="004A6585"/>
    <w:rsid w:val="004A68E3"/>
    <w:rsid w:val="004A7EAE"/>
    <w:rsid w:val="004B0C33"/>
    <w:rsid w:val="004B1D6D"/>
    <w:rsid w:val="004B529F"/>
    <w:rsid w:val="004B5C42"/>
    <w:rsid w:val="004B6141"/>
    <w:rsid w:val="004B72F8"/>
    <w:rsid w:val="004B7355"/>
    <w:rsid w:val="004B749F"/>
    <w:rsid w:val="004C0D59"/>
    <w:rsid w:val="004C1132"/>
    <w:rsid w:val="004C1CA9"/>
    <w:rsid w:val="004C236E"/>
    <w:rsid w:val="004C249B"/>
    <w:rsid w:val="004C3144"/>
    <w:rsid w:val="004C38C3"/>
    <w:rsid w:val="004C4CA4"/>
    <w:rsid w:val="004C52A1"/>
    <w:rsid w:val="004C5A53"/>
    <w:rsid w:val="004C61C6"/>
    <w:rsid w:val="004C6493"/>
    <w:rsid w:val="004C78B5"/>
    <w:rsid w:val="004C7A61"/>
    <w:rsid w:val="004C7C64"/>
    <w:rsid w:val="004C7F89"/>
    <w:rsid w:val="004D2264"/>
    <w:rsid w:val="004D39AB"/>
    <w:rsid w:val="004D41CD"/>
    <w:rsid w:val="004D49C0"/>
    <w:rsid w:val="004D4A7F"/>
    <w:rsid w:val="004D5B9D"/>
    <w:rsid w:val="004D71EA"/>
    <w:rsid w:val="004D748C"/>
    <w:rsid w:val="004D7704"/>
    <w:rsid w:val="004E034E"/>
    <w:rsid w:val="004E0A5A"/>
    <w:rsid w:val="004E1343"/>
    <w:rsid w:val="004E1347"/>
    <w:rsid w:val="004E17C7"/>
    <w:rsid w:val="004E182C"/>
    <w:rsid w:val="004E2237"/>
    <w:rsid w:val="004E22B3"/>
    <w:rsid w:val="004E3654"/>
    <w:rsid w:val="004E3967"/>
    <w:rsid w:val="004E3CF8"/>
    <w:rsid w:val="004E4414"/>
    <w:rsid w:val="004E53B0"/>
    <w:rsid w:val="004E6700"/>
    <w:rsid w:val="004E72BA"/>
    <w:rsid w:val="004E741F"/>
    <w:rsid w:val="004E793A"/>
    <w:rsid w:val="004F1521"/>
    <w:rsid w:val="004F1D87"/>
    <w:rsid w:val="004F2BAF"/>
    <w:rsid w:val="004F2C54"/>
    <w:rsid w:val="004F399A"/>
    <w:rsid w:val="004F3B4F"/>
    <w:rsid w:val="004F3D82"/>
    <w:rsid w:val="004F3F0A"/>
    <w:rsid w:val="004F3F25"/>
    <w:rsid w:val="004F43D0"/>
    <w:rsid w:val="004F4F91"/>
    <w:rsid w:val="00500897"/>
    <w:rsid w:val="00500F43"/>
    <w:rsid w:val="005029EC"/>
    <w:rsid w:val="00502E9E"/>
    <w:rsid w:val="00503239"/>
    <w:rsid w:val="005039D5"/>
    <w:rsid w:val="005050B5"/>
    <w:rsid w:val="00505521"/>
    <w:rsid w:val="00505A33"/>
    <w:rsid w:val="00505B47"/>
    <w:rsid w:val="00506509"/>
    <w:rsid w:val="00507073"/>
    <w:rsid w:val="00507404"/>
    <w:rsid w:val="0051084C"/>
    <w:rsid w:val="0051275A"/>
    <w:rsid w:val="00513ACF"/>
    <w:rsid w:val="00514C07"/>
    <w:rsid w:val="00517A06"/>
    <w:rsid w:val="005239CE"/>
    <w:rsid w:val="0052452B"/>
    <w:rsid w:val="005250F5"/>
    <w:rsid w:val="00525156"/>
    <w:rsid w:val="00530741"/>
    <w:rsid w:val="00532D7F"/>
    <w:rsid w:val="00534734"/>
    <w:rsid w:val="005358BE"/>
    <w:rsid w:val="005368D6"/>
    <w:rsid w:val="005379E8"/>
    <w:rsid w:val="00540332"/>
    <w:rsid w:val="00541B90"/>
    <w:rsid w:val="00542719"/>
    <w:rsid w:val="00542808"/>
    <w:rsid w:val="0054309E"/>
    <w:rsid w:val="005455DE"/>
    <w:rsid w:val="00545923"/>
    <w:rsid w:val="00546CFC"/>
    <w:rsid w:val="00550368"/>
    <w:rsid w:val="005506C9"/>
    <w:rsid w:val="005506E6"/>
    <w:rsid w:val="005519C9"/>
    <w:rsid w:val="00552A6F"/>
    <w:rsid w:val="0055312F"/>
    <w:rsid w:val="00553772"/>
    <w:rsid w:val="00553CB6"/>
    <w:rsid w:val="00554E2E"/>
    <w:rsid w:val="00557FAF"/>
    <w:rsid w:val="005611C0"/>
    <w:rsid w:val="00561583"/>
    <w:rsid w:val="00561D19"/>
    <w:rsid w:val="00561EC1"/>
    <w:rsid w:val="0056291D"/>
    <w:rsid w:val="00564EB6"/>
    <w:rsid w:val="0056542A"/>
    <w:rsid w:val="00567DD2"/>
    <w:rsid w:val="00572F4F"/>
    <w:rsid w:val="00573684"/>
    <w:rsid w:val="00574269"/>
    <w:rsid w:val="00575A27"/>
    <w:rsid w:val="005804A8"/>
    <w:rsid w:val="00580D23"/>
    <w:rsid w:val="005815DF"/>
    <w:rsid w:val="005821A8"/>
    <w:rsid w:val="00582C18"/>
    <w:rsid w:val="005832AF"/>
    <w:rsid w:val="00583701"/>
    <w:rsid w:val="005841DD"/>
    <w:rsid w:val="00584921"/>
    <w:rsid w:val="005857C5"/>
    <w:rsid w:val="00586A92"/>
    <w:rsid w:val="0058799B"/>
    <w:rsid w:val="00590874"/>
    <w:rsid w:val="00590A41"/>
    <w:rsid w:val="00591A46"/>
    <w:rsid w:val="00595EC2"/>
    <w:rsid w:val="005962A1"/>
    <w:rsid w:val="00597583"/>
    <w:rsid w:val="00597848"/>
    <w:rsid w:val="00597B4A"/>
    <w:rsid w:val="005A1106"/>
    <w:rsid w:val="005A1122"/>
    <w:rsid w:val="005A2094"/>
    <w:rsid w:val="005A37F8"/>
    <w:rsid w:val="005A47A4"/>
    <w:rsid w:val="005A6384"/>
    <w:rsid w:val="005A6618"/>
    <w:rsid w:val="005A6DC4"/>
    <w:rsid w:val="005A7C55"/>
    <w:rsid w:val="005B2399"/>
    <w:rsid w:val="005B2607"/>
    <w:rsid w:val="005B2FB4"/>
    <w:rsid w:val="005B5DAE"/>
    <w:rsid w:val="005B6535"/>
    <w:rsid w:val="005B6B15"/>
    <w:rsid w:val="005B6D8F"/>
    <w:rsid w:val="005B7D1F"/>
    <w:rsid w:val="005C2DC5"/>
    <w:rsid w:val="005C3E5D"/>
    <w:rsid w:val="005C3FCA"/>
    <w:rsid w:val="005C60E2"/>
    <w:rsid w:val="005C65E7"/>
    <w:rsid w:val="005C7D45"/>
    <w:rsid w:val="005C7D5B"/>
    <w:rsid w:val="005C7ED2"/>
    <w:rsid w:val="005D0389"/>
    <w:rsid w:val="005D0B0C"/>
    <w:rsid w:val="005D0F3D"/>
    <w:rsid w:val="005D10BD"/>
    <w:rsid w:val="005D252F"/>
    <w:rsid w:val="005D274A"/>
    <w:rsid w:val="005D295E"/>
    <w:rsid w:val="005D3931"/>
    <w:rsid w:val="005D408C"/>
    <w:rsid w:val="005D46FD"/>
    <w:rsid w:val="005D4884"/>
    <w:rsid w:val="005D5876"/>
    <w:rsid w:val="005D6875"/>
    <w:rsid w:val="005D7A1F"/>
    <w:rsid w:val="005E0062"/>
    <w:rsid w:val="005E0570"/>
    <w:rsid w:val="005E07D4"/>
    <w:rsid w:val="005E1E6F"/>
    <w:rsid w:val="005E226D"/>
    <w:rsid w:val="005E4FF8"/>
    <w:rsid w:val="005E5D63"/>
    <w:rsid w:val="005E61E0"/>
    <w:rsid w:val="005E7BC8"/>
    <w:rsid w:val="005F0F6D"/>
    <w:rsid w:val="005F2258"/>
    <w:rsid w:val="005F2758"/>
    <w:rsid w:val="005F2A29"/>
    <w:rsid w:val="005F3D67"/>
    <w:rsid w:val="005F423D"/>
    <w:rsid w:val="005F4754"/>
    <w:rsid w:val="005F4AED"/>
    <w:rsid w:val="005F542D"/>
    <w:rsid w:val="005F696A"/>
    <w:rsid w:val="005F6AD8"/>
    <w:rsid w:val="005F7578"/>
    <w:rsid w:val="005F7C0D"/>
    <w:rsid w:val="00601101"/>
    <w:rsid w:val="006012EC"/>
    <w:rsid w:val="006019E3"/>
    <w:rsid w:val="00602B44"/>
    <w:rsid w:val="00603AEF"/>
    <w:rsid w:val="00604685"/>
    <w:rsid w:val="00604FED"/>
    <w:rsid w:val="00606324"/>
    <w:rsid w:val="0060635B"/>
    <w:rsid w:val="00606E9B"/>
    <w:rsid w:val="006079D6"/>
    <w:rsid w:val="00610149"/>
    <w:rsid w:val="00612230"/>
    <w:rsid w:val="00613D80"/>
    <w:rsid w:val="00614568"/>
    <w:rsid w:val="00614856"/>
    <w:rsid w:val="006159A0"/>
    <w:rsid w:val="00615C38"/>
    <w:rsid w:val="006165EE"/>
    <w:rsid w:val="006166E9"/>
    <w:rsid w:val="00617C33"/>
    <w:rsid w:val="00620F40"/>
    <w:rsid w:val="00622011"/>
    <w:rsid w:val="00622E0E"/>
    <w:rsid w:val="0062303C"/>
    <w:rsid w:val="00623043"/>
    <w:rsid w:val="0062382B"/>
    <w:rsid w:val="00623AA8"/>
    <w:rsid w:val="006243B7"/>
    <w:rsid w:val="00626508"/>
    <w:rsid w:val="006271B6"/>
    <w:rsid w:val="006317F3"/>
    <w:rsid w:val="006318E9"/>
    <w:rsid w:val="00631D93"/>
    <w:rsid w:val="006323C5"/>
    <w:rsid w:val="006346C7"/>
    <w:rsid w:val="00634E23"/>
    <w:rsid w:val="00637F14"/>
    <w:rsid w:val="006415D3"/>
    <w:rsid w:val="00642767"/>
    <w:rsid w:val="0064336A"/>
    <w:rsid w:val="00643B8A"/>
    <w:rsid w:val="006446CD"/>
    <w:rsid w:val="0064555C"/>
    <w:rsid w:val="006460D0"/>
    <w:rsid w:val="0064692B"/>
    <w:rsid w:val="00646B79"/>
    <w:rsid w:val="00647875"/>
    <w:rsid w:val="00650233"/>
    <w:rsid w:val="006503DF"/>
    <w:rsid w:val="006509A5"/>
    <w:rsid w:val="006520F8"/>
    <w:rsid w:val="00652E12"/>
    <w:rsid w:val="006531F8"/>
    <w:rsid w:val="00653681"/>
    <w:rsid w:val="00654B58"/>
    <w:rsid w:val="006560D5"/>
    <w:rsid w:val="00656890"/>
    <w:rsid w:val="00657177"/>
    <w:rsid w:val="00657C19"/>
    <w:rsid w:val="0066107D"/>
    <w:rsid w:val="00661358"/>
    <w:rsid w:val="00661A38"/>
    <w:rsid w:val="00663117"/>
    <w:rsid w:val="00663BD0"/>
    <w:rsid w:val="00663CC2"/>
    <w:rsid w:val="00664CEF"/>
    <w:rsid w:val="006655D9"/>
    <w:rsid w:val="00665959"/>
    <w:rsid w:val="00666957"/>
    <w:rsid w:val="0066704E"/>
    <w:rsid w:val="00667712"/>
    <w:rsid w:val="006705BD"/>
    <w:rsid w:val="00672272"/>
    <w:rsid w:val="00673E71"/>
    <w:rsid w:val="00674081"/>
    <w:rsid w:val="00675E32"/>
    <w:rsid w:val="00676EF6"/>
    <w:rsid w:val="00677E59"/>
    <w:rsid w:val="006816FB"/>
    <w:rsid w:val="0068210F"/>
    <w:rsid w:val="00682491"/>
    <w:rsid w:val="00683FF3"/>
    <w:rsid w:val="00684D37"/>
    <w:rsid w:val="00684DBE"/>
    <w:rsid w:val="00684FA7"/>
    <w:rsid w:val="006858D6"/>
    <w:rsid w:val="00685D23"/>
    <w:rsid w:val="006867DC"/>
    <w:rsid w:val="00687643"/>
    <w:rsid w:val="0068793C"/>
    <w:rsid w:val="00687BA0"/>
    <w:rsid w:val="00691B1C"/>
    <w:rsid w:val="00692F0D"/>
    <w:rsid w:val="006937A3"/>
    <w:rsid w:val="00695223"/>
    <w:rsid w:val="00696660"/>
    <w:rsid w:val="006A12D1"/>
    <w:rsid w:val="006A18F2"/>
    <w:rsid w:val="006A1DB7"/>
    <w:rsid w:val="006A277C"/>
    <w:rsid w:val="006A282E"/>
    <w:rsid w:val="006A3124"/>
    <w:rsid w:val="006A4853"/>
    <w:rsid w:val="006A4B66"/>
    <w:rsid w:val="006A6041"/>
    <w:rsid w:val="006A62BB"/>
    <w:rsid w:val="006A6A43"/>
    <w:rsid w:val="006A6B2F"/>
    <w:rsid w:val="006A7FA4"/>
    <w:rsid w:val="006A7FC0"/>
    <w:rsid w:val="006B07A9"/>
    <w:rsid w:val="006B0BD4"/>
    <w:rsid w:val="006B0D58"/>
    <w:rsid w:val="006B12DB"/>
    <w:rsid w:val="006B14D9"/>
    <w:rsid w:val="006B1A5E"/>
    <w:rsid w:val="006B52F9"/>
    <w:rsid w:val="006B717D"/>
    <w:rsid w:val="006B720A"/>
    <w:rsid w:val="006B7BCA"/>
    <w:rsid w:val="006B7BCD"/>
    <w:rsid w:val="006C1B60"/>
    <w:rsid w:val="006C48F0"/>
    <w:rsid w:val="006C5DE9"/>
    <w:rsid w:val="006C6B59"/>
    <w:rsid w:val="006C6CC7"/>
    <w:rsid w:val="006C6F46"/>
    <w:rsid w:val="006C7268"/>
    <w:rsid w:val="006D0C9C"/>
    <w:rsid w:val="006D2042"/>
    <w:rsid w:val="006D35A9"/>
    <w:rsid w:val="006D5012"/>
    <w:rsid w:val="006D6FA1"/>
    <w:rsid w:val="006D71B1"/>
    <w:rsid w:val="006D73AA"/>
    <w:rsid w:val="006D7890"/>
    <w:rsid w:val="006D7AF9"/>
    <w:rsid w:val="006E05BC"/>
    <w:rsid w:val="006E13BA"/>
    <w:rsid w:val="006E20B4"/>
    <w:rsid w:val="006E30AF"/>
    <w:rsid w:val="006E32E7"/>
    <w:rsid w:val="006E3A06"/>
    <w:rsid w:val="006E5C36"/>
    <w:rsid w:val="006E6E9A"/>
    <w:rsid w:val="006E7C7F"/>
    <w:rsid w:val="006E7CDB"/>
    <w:rsid w:val="006E7DA8"/>
    <w:rsid w:val="006F1394"/>
    <w:rsid w:val="006F1D32"/>
    <w:rsid w:val="006F3F4A"/>
    <w:rsid w:val="006F4295"/>
    <w:rsid w:val="006F5E41"/>
    <w:rsid w:val="00700D7C"/>
    <w:rsid w:val="00701FA4"/>
    <w:rsid w:val="0070276B"/>
    <w:rsid w:val="00702786"/>
    <w:rsid w:val="00703E52"/>
    <w:rsid w:val="007048F7"/>
    <w:rsid w:val="00705A36"/>
    <w:rsid w:val="007063D3"/>
    <w:rsid w:val="00706767"/>
    <w:rsid w:val="0070694D"/>
    <w:rsid w:val="0070700F"/>
    <w:rsid w:val="0071226A"/>
    <w:rsid w:val="00712469"/>
    <w:rsid w:val="0071326D"/>
    <w:rsid w:val="007137C0"/>
    <w:rsid w:val="00713C88"/>
    <w:rsid w:val="0071423C"/>
    <w:rsid w:val="00714771"/>
    <w:rsid w:val="007154B8"/>
    <w:rsid w:val="007155AA"/>
    <w:rsid w:val="00715FB6"/>
    <w:rsid w:val="007161A5"/>
    <w:rsid w:val="007161F3"/>
    <w:rsid w:val="00716D9E"/>
    <w:rsid w:val="0072207F"/>
    <w:rsid w:val="0072323D"/>
    <w:rsid w:val="007232B4"/>
    <w:rsid w:val="0072372B"/>
    <w:rsid w:val="00723CD2"/>
    <w:rsid w:val="00725378"/>
    <w:rsid w:val="00726BBF"/>
    <w:rsid w:val="00726BD1"/>
    <w:rsid w:val="00727557"/>
    <w:rsid w:val="0073012E"/>
    <w:rsid w:val="00730B3A"/>
    <w:rsid w:val="00730FDF"/>
    <w:rsid w:val="0073270D"/>
    <w:rsid w:val="00733DF9"/>
    <w:rsid w:val="0073543F"/>
    <w:rsid w:val="007356EA"/>
    <w:rsid w:val="007358C0"/>
    <w:rsid w:val="00736656"/>
    <w:rsid w:val="007375FA"/>
    <w:rsid w:val="0074038C"/>
    <w:rsid w:val="00740747"/>
    <w:rsid w:val="0074137D"/>
    <w:rsid w:val="00741C98"/>
    <w:rsid w:val="00742613"/>
    <w:rsid w:val="0074391C"/>
    <w:rsid w:val="00743E56"/>
    <w:rsid w:val="00744071"/>
    <w:rsid w:val="00744B13"/>
    <w:rsid w:val="007452E7"/>
    <w:rsid w:val="007455BF"/>
    <w:rsid w:val="00745978"/>
    <w:rsid w:val="007464A0"/>
    <w:rsid w:val="00746604"/>
    <w:rsid w:val="00747588"/>
    <w:rsid w:val="00747ED5"/>
    <w:rsid w:val="007517DB"/>
    <w:rsid w:val="00752AC2"/>
    <w:rsid w:val="00754E89"/>
    <w:rsid w:val="00756DD3"/>
    <w:rsid w:val="00757647"/>
    <w:rsid w:val="007607D2"/>
    <w:rsid w:val="007619DC"/>
    <w:rsid w:val="00761CFE"/>
    <w:rsid w:val="00762F06"/>
    <w:rsid w:val="007636F1"/>
    <w:rsid w:val="00763BD1"/>
    <w:rsid w:val="0076576B"/>
    <w:rsid w:val="00765A04"/>
    <w:rsid w:val="00765FAD"/>
    <w:rsid w:val="0076786B"/>
    <w:rsid w:val="00770512"/>
    <w:rsid w:val="007711DA"/>
    <w:rsid w:val="0077131D"/>
    <w:rsid w:val="007720BC"/>
    <w:rsid w:val="00772435"/>
    <w:rsid w:val="007727D3"/>
    <w:rsid w:val="00773296"/>
    <w:rsid w:val="0077355D"/>
    <w:rsid w:val="00774700"/>
    <w:rsid w:val="00775BDD"/>
    <w:rsid w:val="00777899"/>
    <w:rsid w:val="00780586"/>
    <w:rsid w:val="00781944"/>
    <w:rsid w:val="0078284B"/>
    <w:rsid w:val="0078285F"/>
    <w:rsid w:val="00782BD6"/>
    <w:rsid w:val="007838BF"/>
    <w:rsid w:val="00785485"/>
    <w:rsid w:val="007857F4"/>
    <w:rsid w:val="007928A1"/>
    <w:rsid w:val="007931B3"/>
    <w:rsid w:val="00793B21"/>
    <w:rsid w:val="00793DAA"/>
    <w:rsid w:val="0079401E"/>
    <w:rsid w:val="00795353"/>
    <w:rsid w:val="00795D70"/>
    <w:rsid w:val="007962D4"/>
    <w:rsid w:val="00796409"/>
    <w:rsid w:val="0079760F"/>
    <w:rsid w:val="00797A6B"/>
    <w:rsid w:val="007A00E6"/>
    <w:rsid w:val="007A0BB9"/>
    <w:rsid w:val="007A0E18"/>
    <w:rsid w:val="007A1C9F"/>
    <w:rsid w:val="007A2530"/>
    <w:rsid w:val="007A2DA0"/>
    <w:rsid w:val="007A36F1"/>
    <w:rsid w:val="007A4D6F"/>
    <w:rsid w:val="007A5B15"/>
    <w:rsid w:val="007A5E1E"/>
    <w:rsid w:val="007A676D"/>
    <w:rsid w:val="007A778D"/>
    <w:rsid w:val="007B0057"/>
    <w:rsid w:val="007B234D"/>
    <w:rsid w:val="007B5116"/>
    <w:rsid w:val="007B58DD"/>
    <w:rsid w:val="007B5975"/>
    <w:rsid w:val="007B5D4F"/>
    <w:rsid w:val="007B5D9D"/>
    <w:rsid w:val="007B7223"/>
    <w:rsid w:val="007B733D"/>
    <w:rsid w:val="007B7467"/>
    <w:rsid w:val="007C1229"/>
    <w:rsid w:val="007C14D0"/>
    <w:rsid w:val="007C2062"/>
    <w:rsid w:val="007C2814"/>
    <w:rsid w:val="007C2F9D"/>
    <w:rsid w:val="007C368D"/>
    <w:rsid w:val="007C458F"/>
    <w:rsid w:val="007C4634"/>
    <w:rsid w:val="007C4BD7"/>
    <w:rsid w:val="007C4E42"/>
    <w:rsid w:val="007C5CE4"/>
    <w:rsid w:val="007C5E39"/>
    <w:rsid w:val="007C5FCC"/>
    <w:rsid w:val="007C69AD"/>
    <w:rsid w:val="007C6ECC"/>
    <w:rsid w:val="007D1A06"/>
    <w:rsid w:val="007D1E76"/>
    <w:rsid w:val="007D3775"/>
    <w:rsid w:val="007D3929"/>
    <w:rsid w:val="007D3DC4"/>
    <w:rsid w:val="007D3EE0"/>
    <w:rsid w:val="007D467F"/>
    <w:rsid w:val="007D4FB9"/>
    <w:rsid w:val="007D5A25"/>
    <w:rsid w:val="007D5EA5"/>
    <w:rsid w:val="007D650A"/>
    <w:rsid w:val="007D6705"/>
    <w:rsid w:val="007D694F"/>
    <w:rsid w:val="007D6F1C"/>
    <w:rsid w:val="007D7A05"/>
    <w:rsid w:val="007E099F"/>
    <w:rsid w:val="007E0C37"/>
    <w:rsid w:val="007E133C"/>
    <w:rsid w:val="007E1A42"/>
    <w:rsid w:val="007E1F3E"/>
    <w:rsid w:val="007E3B92"/>
    <w:rsid w:val="007E409B"/>
    <w:rsid w:val="007E5BFA"/>
    <w:rsid w:val="007E7C1B"/>
    <w:rsid w:val="007E7EEA"/>
    <w:rsid w:val="007F03ED"/>
    <w:rsid w:val="007F1259"/>
    <w:rsid w:val="007F1C74"/>
    <w:rsid w:val="007F2FCD"/>
    <w:rsid w:val="007F3272"/>
    <w:rsid w:val="007F39F6"/>
    <w:rsid w:val="007F3BA0"/>
    <w:rsid w:val="007F45FA"/>
    <w:rsid w:val="007F5B86"/>
    <w:rsid w:val="007F6E7B"/>
    <w:rsid w:val="007F7496"/>
    <w:rsid w:val="007F78D9"/>
    <w:rsid w:val="007F7F90"/>
    <w:rsid w:val="00800657"/>
    <w:rsid w:val="00800962"/>
    <w:rsid w:val="008009BC"/>
    <w:rsid w:val="00800DBE"/>
    <w:rsid w:val="008013BE"/>
    <w:rsid w:val="008019F8"/>
    <w:rsid w:val="008025B2"/>
    <w:rsid w:val="00803504"/>
    <w:rsid w:val="00803B64"/>
    <w:rsid w:val="00805059"/>
    <w:rsid w:val="00805135"/>
    <w:rsid w:val="00805E89"/>
    <w:rsid w:val="008072B4"/>
    <w:rsid w:val="00807D1F"/>
    <w:rsid w:val="00810ADC"/>
    <w:rsid w:val="008134D3"/>
    <w:rsid w:val="00813DED"/>
    <w:rsid w:val="008141C3"/>
    <w:rsid w:val="008144B5"/>
    <w:rsid w:val="00817EE6"/>
    <w:rsid w:val="0082007C"/>
    <w:rsid w:val="0082022E"/>
    <w:rsid w:val="00821DD1"/>
    <w:rsid w:val="00823304"/>
    <w:rsid w:val="00823370"/>
    <w:rsid w:val="0082481B"/>
    <w:rsid w:val="00824E4C"/>
    <w:rsid w:val="008265BC"/>
    <w:rsid w:val="00826654"/>
    <w:rsid w:val="00826B27"/>
    <w:rsid w:val="00827133"/>
    <w:rsid w:val="008276DC"/>
    <w:rsid w:val="00830167"/>
    <w:rsid w:val="0083136E"/>
    <w:rsid w:val="008314C9"/>
    <w:rsid w:val="008325AA"/>
    <w:rsid w:val="008326A2"/>
    <w:rsid w:val="0083299B"/>
    <w:rsid w:val="00832A7F"/>
    <w:rsid w:val="00834E9B"/>
    <w:rsid w:val="00835077"/>
    <w:rsid w:val="00836D24"/>
    <w:rsid w:val="00836F27"/>
    <w:rsid w:val="00837088"/>
    <w:rsid w:val="00837CB0"/>
    <w:rsid w:val="00837D50"/>
    <w:rsid w:val="00840978"/>
    <w:rsid w:val="008410B5"/>
    <w:rsid w:val="00842550"/>
    <w:rsid w:val="00842B68"/>
    <w:rsid w:val="00842E69"/>
    <w:rsid w:val="00843196"/>
    <w:rsid w:val="0084384C"/>
    <w:rsid w:val="00844246"/>
    <w:rsid w:val="0084458F"/>
    <w:rsid w:val="00847AB8"/>
    <w:rsid w:val="008503F0"/>
    <w:rsid w:val="00851923"/>
    <w:rsid w:val="00851ED0"/>
    <w:rsid w:val="008535A7"/>
    <w:rsid w:val="00853BED"/>
    <w:rsid w:val="008540FA"/>
    <w:rsid w:val="00854206"/>
    <w:rsid w:val="0085494C"/>
    <w:rsid w:val="00854FC8"/>
    <w:rsid w:val="0085610C"/>
    <w:rsid w:val="008600FE"/>
    <w:rsid w:val="008606F3"/>
    <w:rsid w:val="00862428"/>
    <w:rsid w:val="00862B4D"/>
    <w:rsid w:val="00863046"/>
    <w:rsid w:val="008638D8"/>
    <w:rsid w:val="0086395B"/>
    <w:rsid w:val="00866CB2"/>
    <w:rsid w:val="00866E57"/>
    <w:rsid w:val="00866E5D"/>
    <w:rsid w:val="00867128"/>
    <w:rsid w:val="0086753D"/>
    <w:rsid w:val="00867D70"/>
    <w:rsid w:val="00867D9A"/>
    <w:rsid w:val="00871C1E"/>
    <w:rsid w:val="008725D7"/>
    <w:rsid w:val="00876DC5"/>
    <w:rsid w:val="008772F5"/>
    <w:rsid w:val="00877BE8"/>
    <w:rsid w:val="0088006B"/>
    <w:rsid w:val="00880559"/>
    <w:rsid w:val="00880D86"/>
    <w:rsid w:val="00880F7E"/>
    <w:rsid w:val="008819C0"/>
    <w:rsid w:val="00881BD7"/>
    <w:rsid w:val="00881E4A"/>
    <w:rsid w:val="00882EB1"/>
    <w:rsid w:val="00883393"/>
    <w:rsid w:val="00884350"/>
    <w:rsid w:val="00885299"/>
    <w:rsid w:val="00885BB2"/>
    <w:rsid w:val="0088681B"/>
    <w:rsid w:val="008868E3"/>
    <w:rsid w:val="00886FA7"/>
    <w:rsid w:val="00887085"/>
    <w:rsid w:val="00891225"/>
    <w:rsid w:val="00892CA6"/>
    <w:rsid w:val="008938C1"/>
    <w:rsid w:val="00894D10"/>
    <w:rsid w:val="008A01E7"/>
    <w:rsid w:val="008A04CE"/>
    <w:rsid w:val="008A0A9F"/>
    <w:rsid w:val="008A448C"/>
    <w:rsid w:val="008A532F"/>
    <w:rsid w:val="008A59CE"/>
    <w:rsid w:val="008A6387"/>
    <w:rsid w:val="008A684C"/>
    <w:rsid w:val="008A70A2"/>
    <w:rsid w:val="008A70DD"/>
    <w:rsid w:val="008A7672"/>
    <w:rsid w:val="008A7A88"/>
    <w:rsid w:val="008B0443"/>
    <w:rsid w:val="008B13D3"/>
    <w:rsid w:val="008B160D"/>
    <w:rsid w:val="008B1C47"/>
    <w:rsid w:val="008B3F7D"/>
    <w:rsid w:val="008B42C5"/>
    <w:rsid w:val="008B4DCE"/>
    <w:rsid w:val="008B53E9"/>
    <w:rsid w:val="008B54C2"/>
    <w:rsid w:val="008B6318"/>
    <w:rsid w:val="008B79F7"/>
    <w:rsid w:val="008B7A83"/>
    <w:rsid w:val="008B7D04"/>
    <w:rsid w:val="008C1808"/>
    <w:rsid w:val="008C1D43"/>
    <w:rsid w:val="008C228E"/>
    <w:rsid w:val="008C2564"/>
    <w:rsid w:val="008C3391"/>
    <w:rsid w:val="008C35A7"/>
    <w:rsid w:val="008C36A5"/>
    <w:rsid w:val="008C5796"/>
    <w:rsid w:val="008C60A6"/>
    <w:rsid w:val="008C65E8"/>
    <w:rsid w:val="008C72FD"/>
    <w:rsid w:val="008C7FF8"/>
    <w:rsid w:val="008D037C"/>
    <w:rsid w:val="008D0B16"/>
    <w:rsid w:val="008D2A4D"/>
    <w:rsid w:val="008D3A92"/>
    <w:rsid w:val="008D3D84"/>
    <w:rsid w:val="008D4864"/>
    <w:rsid w:val="008D4A20"/>
    <w:rsid w:val="008D4D21"/>
    <w:rsid w:val="008D51A0"/>
    <w:rsid w:val="008D5F83"/>
    <w:rsid w:val="008D72D8"/>
    <w:rsid w:val="008E0C14"/>
    <w:rsid w:val="008E1070"/>
    <w:rsid w:val="008E185A"/>
    <w:rsid w:val="008E1E91"/>
    <w:rsid w:val="008E336D"/>
    <w:rsid w:val="008E507B"/>
    <w:rsid w:val="008E77EA"/>
    <w:rsid w:val="008F02C9"/>
    <w:rsid w:val="008F0655"/>
    <w:rsid w:val="008F181C"/>
    <w:rsid w:val="008F228F"/>
    <w:rsid w:val="008F2EC2"/>
    <w:rsid w:val="008F4001"/>
    <w:rsid w:val="008F4C48"/>
    <w:rsid w:val="008F6615"/>
    <w:rsid w:val="008F6F6F"/>
    <w:rsid w:val="008F730E"/>
    <w:rsid w:val="008F7882"/>
    <w:rsid w:val="00901FD9"/>
    <w:rsid w:val="00904D2E"/>
    <w:rsid w:val="00904E1A"/>
    <w:rsid w:val="009056CE"/>
    <w:rsid w:val="00906FA5"/>
    <w:rsid w:val="009101B0"/>
    <w:rsid w:val="00912987"/>
    <w:rsid w:val="009132E5"/>
    <w:rsid w:val="00914997"/>
    <w:rsid w:val="0091500F"/>
    <w:rsid w:val="00915A0D"/>
    <w:rsid w:val="00915C7B"/>
    <w:rsid w:val="00916A72"/>
    <w:rsid w:val="00916F4F"/>
    <w:rsid w:val="009173A5"/>
    <w:rsid w:val="009174AF"/>
    <w:rsid w:val="00917F88"/>
    <w:rsid w:val="00920160"/>
    <w:rsid w:val="0092248F"/>
    <w:rsid w:val="00924292"/>
    <w:rsid w:val="00924480"/>
    <w:rsid w:val="009260DD"/>
    <w:rsid w:val="00926CFB"/>
    <w:rsid w:val="00927BD3"/>
    <w:rsid w:val="0093142F"/>
    <w:rsid w:val="00933006"/>
    <w:rsid w:val="00933384"/>
    <w:rsid w:val="009337DC"/>
    <w:rsid w:val="00933C12"/>
    <w:rsid w:val="00933D90"/>
    <w:rsid w:val="009360A0"/>
    <w:rsid w:val="00936DB2"/>
    <w:rsid w:val="009378CC"/>
    <w:rsid w:val="00937B81"/>
    <w:rsid w:val="00937F4D"/>
    <w:rsid w:val="009402E6"/>
    <w:rsid w:val="00941E56"/>
    <w:rsid w:val="00941EF5"/>
    <w:rsid w:val="009426A4"/>
    <w:rsid w:val="00942869"/>
    <w:rsid w:val="009429EA"/>
    <w:rsid w:val="00942F6E"/>
    <w:rsid w:val="00943AD1"/>
    <w:rsid w:val="00943D95"/>
    <w:rsid w:val="00944093"/>
    <w:rsid w:val="00944116"/>
    <w:rsid w:val="0094473C"/>
    <w:rsid w:val="009509D7"/>
    <w:rsid w:val="00950B9F"/>
    <w:rsid w:val="00952727"/>
    <w:rsid w:val="00952DC1"/>
    <w:rsid w:val="0095449F"/>
    <w:rsid w:val="0095478E"/>
    <w:rsid w:val="009565B0"/>
    <w:rsid w:val="009566F2"/>
    <w:rsid w:val="00957CF2"/>
    <w:rsid w:val="00957E59"/>
    <w:rsid w:val="009613A2"/>
    <w:rsid w:val="00961619"/>
    <w:rsid w:val="00961733"/>
    <w:rsid w:val="00961F75"/>
    <w:rsid w:val="00962B39"/>
    <w:rsid w:val="00964861"/>
    <w:rsid w:val="00966825"/>
    <w:rsid w:val="00967276"/>
    <w:rsid w:val="00970FD0"/>
    <w:rsid w:val="00972E6C"/>
    <w:rsid w:val="0097391B"/>
    <w:rsid w:val="00974D86"/>
    <w:rsid w:val="0097505F"/>
    <w:rsid w:val="0097561D"/>
    <w:rsid w:val="0097644E"/>
    <w:rsid w:val="009765E8"/>
    <w:rsid w:val="00976E11"/>
    <w:rsid w:val="00982014"/>
    <w:rsid w:val="00982203"/>
    <w:rsid w:val="00982A4B"/>
    <w:rsid w:val="009834B9"/>
    <w:rsid w:val="0098435A"/>
    <w:rsid w:val="00984EEE"/>
    <w:rsid w:val="00986857"/>
    <w:rsid w:val="00986A5C"/>
    <w:rsid w:val="00987A76"/>
    <w:rsid w:val="00987C28"/>
    <w:rsid w:val="00991655"/>
    <w:rsid w:val="00992B1A"/>
    <w:rsid w:val="00993010"/>
    <w:rsid w:val="0099315A"/>
    <w:rsid w:val="009950E1"/>
    <w:rsid w:val="00995863"/>
    <w:rsid w:val="00995D6B"/>
    <w:rsid w:val="00995DB6"/>
    <w:rsid w:val="009962B1"/>
    <w:rsid w:val="00996743"/>
    <w:rsid w:val="00997365"/>
    <w:rsid w:val="0099760F"/>
    <w:rsid w:val="009977EF"/>
    <w:rsid w:val="00997BAE"/>
    <w:rsid w:val="009A1492"/>
    <w:rsid w:val="009A1EA6"/>
    <w:rsid w:val="009A30D8"/>
    <w:rsid w:val="009A35D8"/>
    <w:rsid w:val="009A3748"/>
    <w:rsid w:val="009A37A6"/>
    <w:rsid w:val="009A4119"/>
    <w:rsid w:val="009A5289"/>
    <w:rsid w:val="009A5CC5"/>
    <w:rsid w:val="009A6938"/>
    <w:rsid w:val="009A6B13"/>
    <w:rsid w:val="009B1645"/>
    <w:rsid w:val="009B19F8"/>
    <w:rsid w:val="009B1B90"/>
    <w:rsid w:val="009B2451"/>
    <w:rsid w:val="009B4164"/>
    <w:rsid w:val="009B4658"/>
    <w:rsid w:val="009B491D"/>
    <w:rsid w:val="009B5719"/>
    <w:rsid w:val="009C0F97"/>
    <w:rsid w:val="009C144B"/>
    <w:rsid w:val="009C24AF"/>
    <w:rsid w:val="009C29B6"/>
    <w:rsid w:val="009C2AEA"/>
    <w:rsid w:val="009C2BD5"/>
    <w:rsid w:val="009C3248"/>
    <w:rsid w:val="009C54D9"/>
    <w:rsid w:val="009C60AA"/>
    <w:rsid w:val="009C64E5"/>
    <w:rsid w:val="009C692D"/>
    <w:rsid w:val="009C698F"/>
    <w:rsid w:val="009C6B0F"/>
    <w:rsid w:val="009C6CB1"/>
    <w:rsid w:val="009C738D"/>
    <w:rsid w:val="009C7E4C"/>
    <w:rsid w:val="009D0480"/>
    <w:rsid w:val="009D23C1"/>
    <w:rsid w:val="009D3FF2"/>
    <w:rsid w:val="009D4B26"/>
    <w:rsid w:val="009D4C4B"/>
    <w:rsid w:val="009D532A"/>
    <w:rsid w:val="009E03E8"/>
    <w:rsid w:val="009E040F"/>
    <w:rsid w:val="009E10AD"/>
    <w:rsid w:val="009E146B"/>
    <w:rsid w:val="009E1D1D"/>
    <w:rsid w:val="009E3F81"/>
    <w:rsid w:val="009E47CC"/>
    <w:rsid w:val="009E4A6E"/>
    <w:rsid w:val="009E74F3"/>
    <w:rsid w:val="009E7A04"/>
    <w:rsid w:val="009E7CC9"/>
    <w:rsid w:val="009F0FF2"/>
    <w:rsid w:val="009F164A"/>
    <w:rsid w:val="009F1792"/>
    <w:rsid w:val="009F18DB"/>
    <w:rsid w:val="009F1FB0"/>
    <w:rsid w:val="009F260A"/>
    <w:rsid w:val="009F265D"/>
    <w:rsid w:val="009F3071"/>
    <w:rsid w:val="009F3769"/>
    <w:rsid w:val="009F52EF"/>
    <w:rsid w:val="009F58FA"/>
    <w:rsid w:val="009F5A49"/>
    <w:rsid w:val="009F66B5"/>
    <w:rsid w:val="009F6F58"/>
    <w:rsid w:val="00A00653"/>
    <w:rsid w:val="00A0583E"/>
    <w:rsid w:val="00A05981"/>
    <w:rsid w:val="00A059D7"/>
    <w:rsid w:val="00A05D51"/>
    <w:rsid w:val="00A064B5"/>
    <w:rsid w:val="00A0717A"/>
    <w:rsid w:val="00A076E9"/>
    <w:rsid w:val="00A07774"/>
    <w:rsid w:val="00A105E8"/>
    <w:rsid w:val="00A11E1F"/>
    <w:rsid w:val="00A11FFD"/>
    <w:rsid w:val="00A12067"/>
    <w:rsid w:val="00A12A73"/>
    <w:rsid w:val="00A13A40"/>
    <w:rsid w:val="00A15C03"/>
    <w:rsid w:val="00A1652C"/>
    <w:rsid w:val="00A17383"/>
    <w:rsid w:val="00A17F3E"/>
    <w:rsid w:val="00A21310"/>
    <w:rsid w:val="00A21821"/>
    <w:rsid w:val="00A220B2"/>
    <w:rsid w:val="00A22E5E"/>
    <w:rsid w:val="00A24CC2"/>
    <w:rsid w:val="00A26073"/>
    <w:rsid w:val="00A26A13"/>
    <w:rsid w:val="00A278D8"/>
    <w:rsid w:val="00A27C44"/>
    <w:rsid w:val="00A302A1"/>
    <w:rsid w:val="00A30558"/>
    <w:rsid w:val="00A31261"/>
    <w:rsid w:val="00A32E75"/>
    <w:rsid w:val="00A32FF9"/>
    <w:rsid w:val="00A3301E"/>
    <w:rsid w:val="00A3355C"/>
    <w:rsid w:val="00A3407C"/>
    <w:rsid w:val="00A370AD"/>
    <w:rsid w:val="00A37981"/>
    <w:rsid w:val="00A37C60"/>
    <w:rsid w:val="00A408F9"/>
    <w:rsid w:val="00A4094F"/>
    <w:rsid w:val="00A40C91"/>
    <w:rsid w:val="00A4108A"/>
    <w:rsid w:val="00A41244"/>
    <w:rsid w:val="00A4125D"/>
    <w:rsid w:val="00A418B0"/>
    <w:rsid w:val="00A41F94"/>
    <w:rsid w:val="00A422EE"/>
    <w:rsid w:val="00A42B7E"/>
    <w:rsid w:val="00A42FD4"/>
    <w:rsid w:val="00A43A52"/>
    <w:rsid w:val="00A43B79"/>
    <w:rsid w:val="00A45CBE"/>
    <w:rsid w:val="00A45F1E"/>
    <w:rsid w:val="00A50CA0"/>
    <w:rsid w:val="00A5146B"/>
    <w:rsid w:val="00A51826"/>
    <w:rsid w:val="00A51C9D"/>
    <w:rsid w:val="00A52215"/>
    <w:rsid w:val="00A5423B"/>
    <w:rsid w:val="00A5510B"/>
    <w:rsid w:val="00A56198"/>
    <w:rsid w:val="00A5686F"/>
    <w:rsid w:val="00A572CF"/>
    <w:rsid w:val="00A5779D"/>
    <w:rsid w:val="00A57F4B"/>
    <w:rsid w:val="00A60FCB"/>
    <w:rsid w:val="00A614CE"/>
    <w:rsid w:val="00A63049"/>
    <w:rsid w:val="00A6315A"/>
    <w:rsid w:val="00A63242"/>
    <w:rsid w:val="00A63C5E"/>
    <w:rsid w:val="00A63D40"/>
    <w:rsid w:val="00A64A26"/>
    <w:rsid w:val="00A66102"/>
    <w:rsid w:val="00A66408"/>
    <w:rsid w:val="00A66AFD"/>
    <w:rsid w:val="00A67083"/>
    <w:rsid w:val="00A677D1"/>
    <w:rsid w:val="00A71016"/>
    <w:rsid w:val="00A7178A"/>
    <w:rsid w:val="00A72413"/>
    <w:rsid w:val="00A72601"/>
    <w:rsid w:val="00A7354A"/>
    <w:rsid w:val="00A73D73"/>
    <w:rsid w:val="00A73DFF"/>
    <w:rsid w:val="00A74286"/>
    <w:rsid w:val="00A74D52"/>
    <w:rsid w:val="00A759F8"/>
    <w:rsid w:val="00A763C5"/>
    <w:rsid w:val="00A767DC"/>
    <w:rsid w:val="00A802EB"/>
    <w:rsid w:val="00A804FD"/>
    <w:rsid w:val="00A80FC4"/>
    <w:rsid w:val="00A820FC"/>
    <w:rsid w:val="00A8254E"/>
    <w:rsid w:val="00A82BE3"/>
    <w:rsid w:val="00A82ECC"/>
    <w:rsid w:val="00A83551"/>
    <w:rsid w:val="00A84B41"/>
    <w:rsid w:val="00A84D59"/>
    <w:rsid w:val="00A851F1"/>
    <w:rsid w:val="00A85971"/>
    <w:rsid w:val="00A86E5F"/>
    <w:rsid w:val="00A90061"/>
    <w:rsid w:val="00A90833"/>
    <w:rsid w:val="00A912B7"/>
    <w:rsid w:val="00A913B0"/>
    <w:rsid w:val="00A92898"/>
    <w:rsid w:val="00A9355C"/>
    <w:rsid w:val="00A93B54"/>
    <w:rsid w:val="00A94182"/>
    <w:rsid w:val="00A944BE"/>
    <w:rsid w:val="00A966D6"/>
    <w:rsid w:val="00A96FEC"/>
    <w:rsid w:val="00A972A7"/>
    <w:rsid w:val="00AA0E27"/>
    <w:rsid w:val="00AA28F3"/>
    <w:rsid w:val="00AA3288"/>
    <w:rsid w:val="00AA4ADF"/>
    <w:rsid w:val="00AA6788"/>
    <w:rsid w:val="00AB066C"/>
    <w:rsid w:val="00AB07A7"/>
    <w:rsid w:val="00AB0B5F"/>
    <w:rsid w:val="00AB1E4B"/>
    <w:rsid w:val="00AB2B2E"/>
    <w:rsid w:val="00AB326B"/>
    <w:rsid w:val="00AB4783"/>
    <w:rsid w:val="00AB4A7F"/>
    <w:rsid w:val="00AB4B82"/>
    <w:rsid w:val="00AB4E33"/>
    <w:rsid w:val="00AB5D04"/>
    <w:rsid w:val="00AB66B9"/>
    <w:rsid w:val="00AB6DDF"/>
    <w:rsid w:val="00AC1475"/>
    <w:rsid w:val="00AC2F39"/>
    <w:rsid w:val="00AC471B"/>
    <w:rsid w:val="00AC58C9"/>
    <w:rsid w:val="00AC5E2F"/>
    <w:rsid w:val="00AC683E"/>
    <w:rsid w:val="00AC6953"/>
    <w:rsid w:val="00AC6E7F"/>
    <w:rsid w:val="00AC71AE"/>
    <w:rsid w:val="00AC75C7"/>
    <w:rsid w:val="00AD01B3"/>
    <w:rsid w:val="00AD0EAB"/>
    <w:rsid w:val="00AD2692"/>
    <w:rsid w:val="00AD27F3"/>
    <w:rsid w:val="00AD36C2"/>
    <w:rsid w:val="00AD521D"/>
    <w:rsid w:val="00AD68F7"/>
    <w:rsid w:val="00AD7C38"/>
    <w:rsid w:val="00AE0E2C"/>
    <w:rsid w:val="00AE18B6"/>
    <w:rsid w:val="00AE2807"/>
    <w:rsid w:val="00AE33A5"/>
    <w:rsid w:val="00AE4E45"/>
    <w:rsid w:val="00AE58FA"/>
    <w:rsid w:val="00AE6596"/>
    <w:rsid w:val="00AE6CF5"/>
    <w:rsid w:val="00AF0151"/>
    <w:rsid w:val="00AF023B"/>
    <w:rsid w:val="00AF194A"/>
    <w:rsid w:val="00AF257E"/>
    <w:rsid w:val="00AF3D61"/>
    <w:rsid w:val="00AF493D"/>
    <w:rsid w:val="00AF594D"/>
    <w:rsid w:val="00AF5C10"/>
    <w:rsid w:val="00AF5DB9"/>
    <w:rsid w:val="00AF78E3"/>
    <w:rsid w:val="00AF7EB1"/>
    <w:rsid w:val="00B00762"/>
    <w:rsid w:val="00B01A79"/>
    <w:rsid w:val="00B02170"/>
    <w:rsid w:val="00B029E4"/>
    <w:rsid w:val="00B02F89"/>
    <w:rsid w:val="00B04418"/>
    <w:rsid w:val="00B05D84"/>
    <w:rsid w:val="00B06F4A"/>
    <w:rsid w:val="00B13205"/>
    <w:rsid w:val="00B13764"/>
    <w:rsid w:val="00B1388F"/>
    <w:rsid w:val="00B14E02"/>
    <w:rsid w:val="00B1512C"/>
    <w:rsid w:val="00B15330"/>
    <w:rsid w:val="00B15B11"/>
    <w:rsid w:val="00B1612A"/>
    <w:rsid w:val="00B177D4"/>
    <w:rsid w:val="00B2079E"/>
    <w:rsid w:val="00B2270F"/>
    <w:rsid w:val="00B233DF"/>
    <w:rsid w:val="00B24303"/>
    <w:rsid w:val="00B256DA"/>
    <w:rsid w:val="00B259B7"/>
    <w:rsid w:val="00B26286"/>
    <w:rsid w:val="00B26325"/>
    <w:rsid w:val="00B26405"/>
    <w:rsid w:val="00B26678"/>
    <w:rsid w:val="00B2687E"/>
    <w:rsid w:val="00B26BD9"/>
    <w:rsid w:val="00B26DFC"/>
    <w:rsid w:val="00B26E8E"/>
    <w:rsid w:val="00B30AB8"/>
    <w:rsid w:val="00B32443"/>
    <w:rsid w:val="00B33354"/>
    <w:rsid w:val="00B33899"/>
    <w:rsid w:val="00B35551"/>
    <w:rsid w:val="00B3676E"/>
    <w:rsid w:val="00B36853"/>
    <w:rsid w:val="00B36A12"/>
    <w:rsid w:val="00B36B28"/>
    <w:rsid w:val="00B3708A"/>
    <w:rsid w:val="00B3727D"/>
    <w:rsid w:val="00B40B5E"/>
    <w:rsid w:val="00B4143D"/>
    <w:rsid w:val="00B4189D"/>
    <w:rsid w:val="00B43225"/>
    <w:rsid w:val="00B439E8"/>
    <w:rsid w:val="00B4422C"/>
    <w:rsid w:val="00B458F4"/>
    <w:rsid w:val="00B466AC"/>
    <w:rsid w:val="00B4688D"/>
    <w:rsid w:val="00B46A51"/>
    <w:rsid w:val="00B46D1B"/>
    <w:rsid w:val="00B473AF"/>
    <w:rsid w:val="00B5108D"/>
    <w:rsid w:val="00B51BB4"/>
    <w:rsid w:val="00B51F45"/>
    <w:rsid w:val="00B520C1"/>
    <w:rsid w:val="00B523BA"/>
    <w:rsid w:val="00B52729"/>
    <w:rsid w:val="00B5443C"/>
    <w:rsid w:val="00B55C9F"/>
    <w:rsid w:val="00B56203"/>
    <w:rsid w:val="00B56629"/>
    <w:rsid w:val="00B57094"/>
    <w:rsid w:val="00B5717E"/>
    <w:rsid w:val="00B571EE"/>
    <w:rsid w:val="00B57D2A"/>
    <w:rsid w:val="00B60F00"/>
    <w:rsid w:val="00B61CE2"/>
    <w:rsid w:val="00B61D2F"/>
    <w:rsid w:val="00B62ED0"/>
    <w:rsid w:val="00B63D23"/>
    <w:rsid w:val="00B63DD2"/>
    <w:rsid w:val="00B642C7"/>
    <w:rsid w:val="00B66904"/>
    <w:rsid w:val="00B70EB3"/>
    <w:rsid w:val="00B73737"/>
    <w:rsid w:val="00B73F60"/>
    <w:rsid w:val="00B74719"/>
    <w:rsid w:val="00B75F6B"/>
    <w:rsid w:val="00B765C3"/>
    <w:rsid w:val="00B76734"/>
    <w:rsid w:val="00B76A9D"/>
    <w:rsid w:val="00B77481"/>
    <w:rsid w:val="00B77584"/>
    <w:rsid w:val="00B805F4"/>
    <w:rsid w:val="00B82BDB"/>
    <w:rsid w:val="00B836D4"/>
    <w:rsid w:val="00B83E0B"/>
    <w:rsid w:val="00B84780"/>
    <w:rsid w:val="00B84908"/>
    <w:rsid w:val="00B84FAF"/>
    <w:rsid w:val="00B852CC"/>
    <w:rsid w:val="00B853A1"/>
    <w:rsid w:val="00B86739"/>
    <w:rsid w:val="00B9015D"/>
    <w:rsid w:val="00B91920"/>
    <w:rsid w:val="00B92191"/>
    <w:rsid w:val="00B93660"/>
    <w:rsid w:val="00B95443"/>
    <w:rsid w:val="00B96A0E"/>
    <w:rsid w:val="00B97400"/>
    <w:rsid w:val="00B97D06"/>
    <w:rsid w:val="00BA0661"/>
    <w:rsid w:val="00BA0A02"/>
    <w:rsid w:val="00BA2191"/>
    <w:rsid w:val="00BA21ED"/>
    <w:rsid w:val="00BA29EA"/>
    <w:rsid w:val="00BA3B6B"/>
    <w:rsid w:val="00BA3CB8"/>
    <w:rsid w:val="00BA3E20"/>
    <w:rsid w:val="00BA435E"/>
    <w:rsid w:val="00BA4642"/>
    <w:rsid w:val="00BA56AD"/>
    <w:rsid w:val="00BA6A91"/>
    <w:rsid w:val="00BA751B"/>
    <w:rsid w:val="00BA7D57"/>
    <w:rsid w:val="00BB078C"/>
    <w:rsid w:val="00BB2DE2"/>
    <w:rsid w:val="00BB3B0A"/>
    <w:rsid w:val="00BB53A5"/>
    <w:rsid w:val="00BB56C8"/>
    <w:rsid w:val="00BC03AE"/>
    <w:rsid w:val="00BC114E"/>
    <w:rsid w:val="00BC11C8"/>
    <w:rsid w:val="00BC40A1"/>
    <w:rsid w:val="00BC65FE"/>
    <w:rsid w:val="00BC7729"/>
    <w:rsid w:val="00BD334E"/>
    <w:rsid w:val="00BD3518"/>
    <w:rsid w:val="00BD3E2E"/>
    <w:rsid w:val="00BD4BFB"/>
    <w:rsid w:val="00BD5CA7"/>
    <w:rsid w:val="00BD5CFF"/>
    <w:rsid w:val="00BD5F9F"/>
    <w:rsid w:val="00BD638E"/>
    <w:rsid w:val="00BD6581"/>
    <w:rsid w:val="00BD7AC5"/>
    <w:rsid w:val="00BE0BB7"/>
    <w:rsid w:val="00BE0EB3"/>
    <w:rsid w:val="00BE1D73"/>
    <w:rsid w:val="00BE30AB"/>
    <w:rsid w:val="00BE346D"/>
    <w:rsid w:val="00BE612E"/>
    <w:rsid w:val="00BE76DE"/>
    <w:rsid w:val="00BE76F3"/>
    <w:rsid w:val="00BF11C8"/>
    <w:rsid w:val="00BF1CFA"/>
    <w:rsid w:val="00BF237E"/>
    <w:rsid w:val="00BF3038"/>
    <w:rsid w:val="00BF3FE4"/>
    <w:rsid w:val="00BF42CC"/>
    <w:rsid w:val="00BF4798"/>
    <w:rsid w:val="00BF4F86"/>
    <w:rsid w:val="00BF53F5"/>
    <w:rsid w:val="00BF6902"/>
    <w:rsid w:val="00BF7439"/>
    <w:rsid w:val="00BF7C27"/>
    <w:rsid w:val="00C0045F"/>
    <w:rsid w:val="00C00534"/>
    <w:rsid w:val="00C0076B"/>
    <w:rsid w:val="00C016D0"/>
    <w:rsid w:val="00C02BCC"/>
    <w:rsid w:val="00C034AF"/>
    <w:rsid w:val="00C03E39"/>
    <w:rsid w:val="00C03EEF"/>
    <w:rsid w:val="00C0523B"/>
    <w:rsid w:val="00C05E54"/>
    <w:rsid w:val="00C0672C"/>
    <w:rsid w:val="00C0691B"/>
    <w:rsid w:val="00C06B1A"/>
    <w:rsid w:val="00C0707C"/>
    <w:rsid w:val="00C1073E"/>
    <w:rsid w:val="00C118E3"/>
    <w:rsid w:val="00C12435"/>
    <w:rsid w:val="00C13CC0"/>
    <w:rsid w:val="00C1414A"/>
    <w:rsid w:val="00C144A0"/>
    <w:rsid w:val="00C15DDE"/>
    <w:rsid w:val="00C160F8"/>
    <w:rsid w:val="00C1645C"/>
    <w:rsid w:val="00C1658B"/>
    <w:rsid w:val="00C17E1A"/>
    <w:rsid w:val="00C201EF"/>
    <w:rsid w:val="00C204A3"/>
    <w:rsid w:val="00C20F24"/>
    <w:rsid w:val="00C21130"/>
    <w:rsid w:val="00C229E6"/>
    <w:rsid w:val="00C237FB"/>
    <w:rsid w:val="00C24996"/>
    <w:rsid w:val="00C255F9"/>
    <w:rsid w:val="00C25F61"/>
    <w:rsid w:val="00C26597"/>
    <w:rsid w:val="00C26658"/>
    <w:rsid w:val="00C266DE"/>
    <w:rsid w:val="00C27377"/>
    <w:rsid w:val="00C27DCF"/>
    <w:rsid w:val="00C32727"/>
    <w:rsid w:val="00C3354E"/>
    <w:rsid w:val="00C35346"/>
    <w:rsid w:val="00C35B4D"/>
    <w:rsid w:val="00C3669C"/>
    <w:rsid w:val="00C369B9"/>
    <w:rsid w:val="00C373E8"/>
    <w:rsid w:val="00C400AB"/>
    <w:rsid w:val="00C41059"/>
    <w:rsid w:val="00C4192B"/>
    <w:rsid w:val="00C42C30"/>
    <w:rsid w:val="00C42D95"/>
    <w:rsid w:val="00C4367F"/>
    <w:rsid w:val="00C43EAF"/>
    <w:rsid w:val="00C44046"/>
    <w:rsid w:val="00C445EB"/>
    <w:rsid w:val="00C44D33"/>
    <w:rsid w:val="00C44E4A"/>
    <w:rsid w:val="00C45196"/>
    <w:rsid w:val="00C45E05"/>
    <w:rsid w:val="00C469DD"/>
    <w:rsid w:val="00C46A4E"/>
    <w:rsid w:val="00C470F7"/>
    <w:rsid w:val="00C4771A"/>
    <w:rsid w:val="00C5007A"/>
    <w:rsid w:val="00C50CED"/>
    <w:rsid w:val="00C52708"/>
    <w:rsid w:val="00C528EB"/>
    <w:rsid w:val="00C532C8"/>
    <w:rsid w:val="00C53C00"/>
    <w:rsid w:val="00C5448C"/>
    <w:rsid w:val="00C554E9"/>
    <w:rsid w:val="00C5582E"/>
    <w:rsid w:val="00C56704"/>
    <w:rsid w:val="00C567EE"/>
    <w:rsid w:val="00C5699D"/>
    <w:rsid w:val="00C57D6F"/>
    <w:rsid w:val="00C60067"/>
    <w:rsid w:val="00C603DE"/>
    <w:rsid w:val="00C60697"/>
    <w:rsid w:val="00C6115A"/>
    <w:rsid w:val="00C629B2"/>
    <w:rsid w:val="00C63E0D"/>
    <w:rsid w:val="00C6652A"/>
    <w:rsid w:val="00C66EBE"/>
    <w:rsid w:val="00C67AF6"/>
    <w:rsid w:val="00C7050C"/>
    <w:rsid w:val="00C70FE6"/>
    <w:rsid w:val="00C71667"/>
    <w:rsid w:val="00C723D6"/>
    <w:rsid w:val="00C7254D"/>
    <w:rsid w:val="00C72959"/>
    <w:rsid w:val="00C72E7F"/>
    <w:rsid w:val="00C739D9"/>
    <w:rsid w:val="00C73A09"/>
    <w:rsid w:val="00C749B8"/>
    <w:rsid w:val="00C7733C"/>
    <w:rsid w:val="00C7750B"/>
    <w:rsid w:val="00C80581"/>
    <w:rsid w:val="00C80780"/>
    <w:rsid w:val="00C814FC"/>
    <w:rsid w:val="00C8174A"/>
    <w:rsid w:val="00C819C6"/>
    <w:rsid w:val="00C82030"/>
    <w:rsid w:val="00C821C7"/>
    <w:rsid w:val="00C8261B"/>
    <w:rsid w:val="00C82FDB"/>
    <w:rsid w:val="00C832F8"/>
    <w:rsid w:val="00C83791"/>
    <w:rsid w:val="00C83AEF"/>
    <w:rsid w:val="00C846C3"/>
    <w:rsid w:val="00C84A3D"/>
    <w:rsid w:val="00C85483"/>
    <w:rsid w:val="00C8659F"/>
    <w:rsid w:val="00C86876"/>
    <w:rsid w:val="00C86A11"/>
    <w:rsid w:val="00C870A3"/>
    <w:rsid w:val="00C90879"/>
    <w:rsid w:val="00C90D2E"/>
    <w:rsid w:val="00C91750"/>
    <w:rsid w:val="00C919D3"/>
    <w:rsid w:val="00C92680"/>
    <w:rsid w:val="00C93FBF"/>
    <w:rsid w:val="00C952AB"/>
    <w:rsid w:val="00C964D1"/>
    <w:rsid w:val="00C974EC"/>
    <w:rsid w:val="00C97644"/>
    <w:rsid w:val="00CA01C0"/>
    <w:rsid w:val="00CA2024"/>
    <w:rsid w:val="00CA27F1"/>
    <w:rsid w:val="00CA2B3F"/>
    <w:rsid w:val="00CA359D"/>
    <w:rsid w:val="00CA3E1A"/>
    <w:rsid w:val="00CA3F36"/>
    <w:rsid w:val="00CA4363"/>
    <w:rsid w:val="00CA47C9"/>
    <w:rsid w:val="00CA74FE"/>
    <w:rsid w:val="00CA7C54"/>
    <w:rsid w:val="00CA7CEB"/>
    <w:rsid w:val="00CB12C7"/>
    <w:rsid w:val="00CB15A1"/>
    <w:rsid w:val="00CB3371"/>
    <w:rsid w:val="00CB3E9B"/>
    <w:rsid w:val="00CB4756"/>
    <w:rsid w:val="00CB67A2"/>
    <w:rsid w:val="00CB75BD"/>
    <w:rsid w:val="00CB7649"/>
    <w:rsid w:val="00CB7F59"/>
    <w:rsid w:val="00CC0BC5"/>
    <w:rsid w:val="00CC1354"/>
    <w:rsid w:val="00CC243E"/>
    <w:rsid w:val="00CC2AC1"/>
    <w:rsid w:val="00CC3B83"/>
    <w:rsid w:val="00CC43B3"/>
    <w:rsid w:val="00CC5249"/>
    <w:rsid w:val="00CC6FC1"/>
    <w:rsid w:val="00CC70CF"/>
    <w:rsid w:val="00CD1B5D"/>
    <w:rsid w:val="00CD1D2E"/>
    <w:rsid w:val="00CD21CB"/>
    <w:rsid w:val="00CD395B"/>
    <w:rsid w:val="00CD3D46"/>
    <w:rsid w:val="00CD40AE"/>
    <w:rsid w:val="00CD42AA"/>
    <w:rsid w:val="00CD5B20"/>
    <w:rsid w:val="00CD6AFC"/>
    <w:rsid w:val="00CD6FF3"/>
    <w:rsid w:val="00CD7B2C"/>
    <w:rsid w:val="00CD7BDC"/>
    <w:rsid w:val="00CE2912"/>
    <w:rsid w:val="00CE2EB2"/>
    <w:rsid w:val="00CE2F83"/>
    <w:rsid w:val="00CE4DD1"/>
    <w:rsid w:val="00CE76E1"/>
    <w:rsid w:val="00CE7810"/>
    <w:rsid w:val="00CF003E"/>
    <w:rsid w:val="00CF0E4F"/>
    <w:rsid w:val="00CF22AC"/>
    <w:rsid w:val="00CF2316"/>
    <w:rsid w:val="00CF23F3"/>
    <w:rsid w:val="00CF2F27"/>
    <w:rsid w:val="00CF5001"/>
    <w:rsid w:val="00CF5660"/>
    <w:rsid w:val="00CF62FE"/>
    <w:rsid w:val="00CF6D45"/>
    <w:rsid w:val="00CF780E"/>
    <w:rsid w:val="00D00D33"/>
    <w:rsid w:val="00D01916"/>
    <w:rsid w:val="00D01E3C"/>
    <w:rsid w:val="00D02366"/>
    <w:rsid w:val="00D02841"/>
    <w:rsid w:val="00D03568"/>
    <w:rsid w:val="00D0475A"/>
    <w:rsid w:val="00D058E6"/>
    <w:rsid w:val="00D07592"/>
    <w:rsid w:val="00D10D39"/>
    <w:rsid w:val="00D11E96"/>
    <w:rsid w:val="00D132D3"/>
    <w:rsid w:val="00D1354E"/>
    <w:rsid w:val="00D13A20"/>
    <w:rsid w:val="00D14859"/>
    <w:rsid w:val="00D14B6D"/>
    <w:rsid w:val="00D16E3C"/>
    <w:rsid w:val="00D2063B"/>
    <w:rsid w:val="00D20729"/>
    <w:rsid w:val="00D20DF7"/>
    <w:rsid w:val="00D21477"/>
    <w:rsid w:val="00D23435"/>
    <w:rsid w:val="00D2453C"/>
    <w:rsid w:val="00D249A6"/>
    <w:rsid w:val="00D2613D"/>
    <w:rsid w:val="00D30B88"/>
    <w:rsid w:val="00D3163B"/>
    <w:rsid w:val="00D32CD0"/>
    <w:rsid w:val="00D32EED"/>
    <w:rsid w:val="00D3438A"/>
    <w:rsid w:val="00D343DF"/>
    <w:rsid w:val="00D34671"/>
    <w:rsid w:val="00D34A77"/>
    <w:rsid w:val="00D352B7"/>
    <w:rsid w:val="00D352F9"/>
    <w:rsid w:val="00D35678"/>
    <w:rsid w:val="00D35B0C"/>
    <w:rsid w:val="00D35C76"/>
    <w:rsid w:val="00D40652"/>
    <w:rsid w:val="00D40A47"/>
    <w:rsid w:val="00D40A71"/>
    <w:rsid w:val="00D414C0"/>
    <w:rsid w:val="00D41CFE"/>
    <w:rsid w:val="00D42425"/>
    <w:rsid w:val="00D4252D"/>
    <w:rsid w:val="00D425FC"/>
    <w:rsid w:val="00D4260A"/>
    <w:rsid w:val="00D42648"/>
    <w:rsid w:val="00D4356F"/>
    <w:rsid w:val="00D438CB"/>
    <w:rsid w:val="00D43DF8"/>
    <w:rsid w:val="00D440FD"/>
    <w:rsid w:val="00D44535"/>
    <w:rsid w:val="00D4578B"/>
    <w:rsid w:val="00D45CC1"/>
    <w:rsid w:val="00D476A5"/>
    <w:rsid w:val="00D47DC7"/>
    <w:rsid w:val="00D509D5"/>
    <w:rsid w:val="00D50BF3"/>
    <w:rsid w:val="00D50DF3"/>
    <w:rsid w:val="00D51AED"/>
    <w:rsid w:val="00D53630"/>
    <w:rsid w:val="00D5444C"/>
    <w:rsid w:val="00D54C41"/>
    <w:rsid w:val="00D560CD"/>
    <w:rsid w:val="00D56A8A"/>
    <w:rsid w:val="00D6019D"/>
    <w:rsid w:val="00D614E8"/>
    <w:rsid w:val="00D63DD4"/>
    <w:rsid w:val="00D64199"/>
    <w:rsid w:val="00D65895"/>
    <w:rsid w:val="00D67103"/>
    <w:rsid w:val="00D67376"/>
    <w:rsid w:val="00D67BB4"/>
    <w:rsid w:val="00D67CE5"/>
    <w:rsid w:val="00D67EC2"/>
    <w:rsid w:val="00D71585"/>
    <w:rsid w:val="00D7273D"/>
    <w:rsid w:val="00D744E6"/>
    <w:rsid w:val="00D7489B"/>
    <w:rsid w:val="00D751BB"/>
    <w:rsid w:val="00D753DE"/>
    <w:rsid w:val="00D76C7B"/>
    <w:rsid w:val="00D77F2C"/>
    <w:rsid w:val="00D80A18"/>
    <w:rsid w:val="00D8247F"/>
    <w:rsid w:val="00D8390A"/>
    <w:rsid w:val="00D841F2"/>
    <w:rsid w:val="00D84C59"/>
    <w:rsid w:val="00D850A2"/>
    <w:rsid w:val="00D86690"/>
    <w:rsid w:val="00D877AE"/>
    <w:rsid w:val="00D91838"/>
    <w:rsid w:val="00D9332E"/>
    <w:rsid w:val="00D94242"/>
    <w:rsid w:val="00D957FA"/>
    <w:rsid w:val="00D960A2"/>
    <w:rsid w:val="00D969F5"/>
    <w:rsid w:val="00D979C1"/>
    <w:rsid w:val="00DA0355"/>
    <w:rsid w:val="00DA188F"/>
    <w:rsid w:val="00DA2CB1"/>
    <w:rsid w:val="00DA3F57"/>
    <w:rsid w:val="00DA40E4"/>
    <w:rsid w:val="00DA461C"/>
    <w:rsid w:val="00DA4AC7"/>
    <w:rsid w:val="00DA4C0E"/>
    <w:rsid w:val="00DA5161"/>
    <w:rsid w:val="00DB15C0"/>
    <w:rsid w:val="00DB1CD8"/>
    <w:rsid w:val="00DB3006"/>
    <w:rsid w:val="00DB37C2"/>
    <w:rsid w:val="00DB5B8C"/>
    <w:rsid w:val="00DB6B1C"/>
    <w:rsid w:val="00DC0DB3"/>
    <w:rsid w:val="00DC14FD"/>
    <w:rsid w:val="00DC16A9"/>
    <w:rsid w:val="00DC1A2D"/>
    <w:rsid w:val="00DC1CB2"/>
    <w:rsid w:val="00DC1D11"/>
    <w:rsid w:val="00DC318D"/>
    <w:rsid w:val="00DC3789"/>
    <w:rsid w:val="00DC4361"/>
    <w:rsid w:val="00DC49AF"/>
    <w:rsid w:val="00DC545D"/>
    <w:rsid w:val="00DC5566"/>
    <w:rsid w:val="00DC6E30"/>
    <w:rsid w:val="00DD0A95"/>
    <w:rsid w:val="00DD1F97"/>
    <w:rsid w:val="00DD2129"/>
    <w:rsid w:val="00DD2785"/>
    <w:rsid w:val="00DD3133"/>
    <w:rsid w:val="00DD6138"/>
    <w:rsid w:val="00DD79ED"/>
    <w:rsid w:val="00DD7BEF"/>
    <w:rsid w:val="00DE0707"/>
    <w:rsid w:val="00DE15E2"/>
    <w:rsid w:val="00DE3B7B"/>
    <w:rsid w:val="00DE3F54"/>
    <w:rsid w:val="00DE440A"/>
    <w:rsid w:val="00DE4511"/>
    <w:rsid w:val="00DE4E72"/>
    <w:rsid w:val="00DE5973"/>
    <w:rsid w:val="00DE6185"/>
    <w:rsid w:val="00DE6D93"/>
    <w:rsid w:val="00DE6DC9"/>
    <w:rsid w:val="00DE7813"/>
    <w:rsid w:val="00DE79DC"/>
    <w:rsid w:val="00DF0124"/>
    <w:rsid w:val="00DF163D"/>
    <w:rsid w:val="00DF29CB"/>
    <w:rsid w:val="00DF2A6D"/>
    <w:rsid w:val="00DF3BC0"/>
    <w:rsid w:val="00DF3D7E"/>
    <w:rsid w:val="00DF69C8"/>
    <w:rsid w:val="00E00219"/>
    <w:rsid w:val="00E003BF"/>
    <w:rsid w:val="00E00C74"/>
    <w:rsid w:val="00E0172E"/>
    <w:rsid w:val="00E01B8E"/>
    <w:rsid w:val="00E01D4C"/>
    <w:rsid w:val="00E02442"/>
    <w:rsid w:val="00E0291B"/>
    <w:rsid w:val="00E03553"/>
    <w:rsid w:val="00E03F96"/>
    <w:rsid w:val="00E0537D"/>
    <w:rsid w:val="00E05E69"/>
    <w:rsid w:val="00E0668D"/>
    <w:rsid w:val="00E06A81"/>
    <w:rsid w:val="00E07618"/>
    <w:rsid w:val="00E07C7E"/>
    <w:rsid w:val="00E07DF8"/>
    <w:rsid w:val="00E10F30"/>
    <w:rsid w:val="00E10F62"/>
    <w:rsid w:val="00E11ABD"/>
    <w:rsid w:val="00E131A2"/>
    <w:rsid w:val="00E15E6A"/>
    <w:rsid w:val="00E160FC"/>
    <w:rsid w:val="00E1632D"/>
    <w:rsid w:val="00E177EE"/>
    <w:rsid w:val="00E2062C"/>
    <w:rsid w:val="00E2129B"/>
    <w:rsid w:val="00E216E9"/>
    <w:rsid w:val="00E21923"/>
    <w:rsid w:val="00E22A85"/>
    <w:rsid w:val="00E23A3A"/>
    <w:rsid w:val="00E242E3"/>
    <w:rsid w:val="00E2454E"/>
    <w:rsid w:val="00E24BAA"/>
    <w:rsid w:val="00E25D0D"/>
    <w:rsid w:val="00E26ABE"/>
    <w:rsid w:val="00E271D1"/>
    <w:rsid w:val="00E27782"/>
    <w:rsid w:val="00E31A53"/>
    <w:rsid w:val="00E3211A"/>
    <w:rsid w:val="00E32C10"/>
    <w:rsid w:val="00E32E90"/>
    <w:rsid w:val="00E32FB6"/>
    <w:rsid w:val="00E333AE"/>
    <w:rsid w:val="00E33451"/>
    <w:rsid w:val="00E33E56"/>
    <w:rsid w:val="00E34780"/>
    <w:rsid w:val="00E34BFB"/>
    <w:rsid w:val="00E35607"/>
    <w:rsid w:val="00E36835"/>
    <w:rsid w:val="00E36D3D"/>
    <w:rsid w:val="00E37A40"/>
    <w:rsid w:val="00E37C0C"/>
    <w:rsid w:val="00E37E35"/>
    <w:rsid w:val="00E40149"/>
    <w:rsid w:val="00E41073"/>
    <w:rsid w:val="00E4112C"/>
    <w:rsid w:val="00E41627"/>
    <w:rsid w:val="00E418E2"/>
    <w:rsid w:val="00E41A5F"/>
    <w:rsid w:val="00E42006"/>
    <w:rsid w:val="00E42FAF"/>
    <w:rsid w:val="00E430CA"/>
    <w:rsid w:val="00E44B2F"/>
    <w:rsid w:val="00E44C81"/>
    <w:rsid w:val="00E44CD4"/>
    <w:rsid w:val="00E460D4"/>
    <w:rsid w:val="00E461FE"/>
    <w:rsid w:val="00E46641"/>
    <w:rsid w:val="00E46EA7"/>
    <w:rsid w:val="00E474CC"/>
    <w:rsid w:val="00E478B9"/>
    <w:rsid w:val="00E5001F"/>
    <w:rsid w:val="00E5136B"/>
    <w:rsid w:val="00E5149C"/>
    <w:rsid w:val="00E515B0"/>
    <w:rsid w:val="00E53EDB"/>
    <w:rsid w:val="00E54856"/>
    <w:rsid w:val="00E54872"/>
    <w:rsid w:val="00E55359"/>
    <w:rsid w:val="00E55A54"/>
    <w:rsid w:val="00E567BE"/>
    <w:rsid w:val="00E5700E"/>
    <w:rsid w:val="00E574EC"/>
    <w:rsid w:val="00E608AB"/>
    <w:rsid w:val="00E60C17"/>
    <w:rsid w:val="00E60CFC"/>
    <w:rsid w:val="00E617C6"/>
    <w:rsid w:val="00E635DC"/>
    <w:rsid w:val="00E6371D"/>
    <w:rsid w:val="00E63D67"/>
    <w:rsid w:val="00E64EA3"/>
    <w:rsid w:val="00E65C68"/>
    <w:rsid w:val="00E66009"/>
    <w:rsid w:val="00E663B9"/>
    <w:rsid w:val="00E66896"/>
    <w:rsid w:val="00E6783E"/>
    <w:rsid w:val="00E67D2B"/>
    <w:rsid w:val="00E700F6"/>
    <w:rsid w:val="00E705C0"/>
    <w:rsid w:val="00E71176"/>
    <w:rsid w:val="00E71CD1"/>
    <w:rsid w:val="00E7233B"/>
    <w:rsid w:val="00E7261F"/>
    <w:rsid w:val="00E73404"/>
    <w:rsid w:val="00E74B6B"/>
    <w:rsid w:val="00E758AA"/>
    <w:rsid w:val="00E76F83"/>
    <w:rsid w:val="00E77ECA"/>
    <w:rsid w:val="00E82FA7"/>
    <w:rsid w:val="00E83562"/>
    <w:rsid w:val="00E83B55"/>
    <w:rsid w:val="00E8458F"/>
    <w:rsid w:val="00E84645"/>
    <w:rsid w:val="00E84AB9"/>
    <w:rsid w:val="00E85BAA"/>
    <w:rsid w:val="00E866E1"/>
    <w:rsid w:val="00E8681F"/>
    <w:rsid w:val="00E90896"/>
    <w:rsid w:val="00E90E79"/>
    <w:rsid w:val="00E9121E"/>
    <w:rsid w:val="00E91618"/>
    <w:rsid w:val="00E92315"/>
    <w:rsid w:val="00E9372C"/>
    <w:rsid w:val="00E95BC1"/>
    <w:rsid w:val="00E95CF9"/>
    <w:rsid w:val="00E96C02"/>
    <w:rsid w:val="00E97215"/>
    <w:rsid w:val="00E97465"/>
    <w:rsid w:val="00EA0365"/>
    <w:rsid w:val="00EA2722"/>
    <w:rsid w:val="00EA2B72"/>
    <w:rsid w:val="00EA2E01"/>
    <w:rsid w:val="00EA3AE8"/>
    <w:rsid w:val="00EA3E04"/>
    <w:rsid w:val="00EA41EC"/>
    <w:rsid w:val="00EA46C4"/>
    <w:rsid w:val="00EA484A"/>
    <w:rsid w:val="00EA5B1B"/>
    <w:rsid w:val="00EA7573"/>
    <w:rsid w:val="00EA793B"/>
    <w:rsid w:val="00EA7E73"/>
    <w:rsid w:val="00EB05EA"/>
    <w:rsid w:val="00EB1FF9"/>
    <w:rsid w:val="00EB497A"/>
    <w:rsid w:val="00EB4F44"/>
    <w:rsid w:val="00EB4F5F"/>
    <w:rsid w:val="00EB5F09"/>
    <w:rsid w:val="00EB6359"/>
    <w:rsid w:val="00EB6E29"/>
    <w:rsid w:val="00EC1B99"/>
    <w:rsid w:val="00EC2060"/>
    <w:rsid w:val="00EC46F5"/>
    <w:rsid w:val="00EC4949"/>
    <w:rsid w:val="00EC596B"/>
    <w:rsid w:val="00EC5E0E"/>
    <w:rsid w:val="00EC66CA"/>
    <w:rsid w:val="00EC6A60"/>
    <w:rsid w:val="00EC7DFC"/>
    <w:rsid w:val="00ED0FA5"/>
    <w:rsid w:val="00ED2833"/>
    <w:rsid w:val="00ED2A4E"/>
    <w:rsid w:val="00ED2D78"/>
    <w:rsid w:val="00ED36AB"/>
    <w:rsid w:val="00ED3CF4"/>
    <w:rsid w:val="00ED459F"/>
    <w:rsid w:val="00ED6A24"/>
    <w:rsid w:val="00ED7731"/>
    <w:rsid w:val="00ED7C0D"/>
    <w:rsid w:val="00EE26B1"/>
    <w:rsid w:val="00EE26FF"/>
    <w:rsid w:val="00EE2F7C"/>
    <w:rsid w:val="00EE32B1"/>
    <w:rsid w:val="00EE3AD0"/>
    <w:rsid w:val="00EE54B5"/>
    <w:rsid w:val="00EE6F53"/>
    <w:rsid w:val="00EE7526"/>
    <w:rsid w:val="00EF0811"/>
    <w:rsid w:val="00EF0D14"/>
    <w:rsid w:val="00EF2257"/>
    <w:rsid w:val="00EF22C8"/>
    <w:rsid w:val="00EF27A9"/>
    <w:rsid w:val="00EF4227"/>
    <w:rsid w:val="00EF63E8"/>
    <w:rsid w:val="00EF72FD"/>
    <w:rsid w:val="00F00F2B"/>
    <w:rsid w:val="00F02CAF"/>
    <w:rsid w:val="00F02CB0"/>
    <w:rsid w:val="00F0427A"/>
    <w:rsid w:val="00F0464F"/>
    <w:rsid w:val="00F0550B"/>
    <w:rsid w:val="00F07D38"/>
    <w:rsid w:val="00F1047E"/>
    <w:rsid w:val="00F14155"/>
    <w:rsid w:val="00F145EE"/>
    <w:rsid w:val="00F14DEB"/>
    <w:rsid w:val="00F16BAB"/>
    <w:rsid w:val="00F17664"/>
    <w:rsid w:val="00F17BAD"/>
    <w:rsid w:val="00F20162"/>
    <w:rsid w:val="00F20B99"/>
    <w:rsid w:val="00F2206F"/>
    <w:rsid w:val="00F22BC4"/>
    <w:rsid w:val="00F22CE8"/>
    <w:rsid w:val="00F22D03"/>
    <w:rsid w:val="00F234E0"/>
    <w:rsid w:val="00F24EF3"/>
    <w:rsid w:val="00F25125"/>
    <w:rsid w:val="00F259BE"/>
    <w:rsid w:val="00F26575"/>
    <w:rsid w:val="00F26C75"/>
    <w:rsid w:val="00F27197"/>
    <w:rsid w:val="00F27674"/>
    <w:rsid w:val="00F27F1E"/>
    <w:rsid w:val="00F304FB"/>
    <w:rsid w:val="00F315E4"/>
    <w:rsid w:val="00F31F88"/>
    <w:rsid w:val="00F32855"/>
    <w:rsid w:val="00F329E5"/>
    <w:rsid w:val="00F32DF3"/>
    <w:rsid w:val="00F35082"/>
    <w:rsid w:val="00F355DA"/>
    <w:rsid w:val="00F36982"/>
    <w:rsid w:val="00F375EB"/>
    <w:rsid w:val="00F4049E"/>
    <w:rsid w:val="00F40C82"/>
    <w:rsid w:val="00F414AC"/>
    <w:rsid w:val="00F41D38"/>
    <w:rsid w:val="00F41E33"/>
    <w:rsid w:val="00F42F69"/>
    <w:rsid w:val="00F43519"/>
    <w:rsid w:val="00F43D25"/>
    <w:rsid w:val="00F446D3"/>
    <w:rsid w:val="00F46437"/>
    <w:rsid w:val="00F47EFB"/>
    <w:rsid w:val="00F5086E"/>
    <w:rsid w:val="00F5152B"/>
    <w:rsid w:val="00F51B25"/>
    <w:rsid w:val="00F526A8"/>
    <w:rsid w:val="00F53108"/>
    <w:rsid w:val="00F532A7"/>
    <w:rsid w:val="00F53C4B"/>
    <w:rsid w:val="00F54B04"/>
    <w:rsid w:val="00F55BFF"/>
    <w:rsid w:val="00F568F3"/>
    <w:rsid w:val="00F57458"/>
    <w:rsid w:val="00F617D0"/>
    <w:rsid w:val="00F6191A"/>
    <w:rsid w:val="00F6193F"/>
    <w:rsid w:val="00F62558"/>
    <w:rsid w:val="00F6255F"/>
    <w:rsid w:val="00F628B5"/>
    <w:rsid w:val="00F62BD1"/>
    <w:rsid w:val="00F62FED"/>
    <w:rsid w:val="00F637A1"/>
    <w:rsid w:val="00F64554"/>
    <w:rsid w:val="00F64E4B"/>
    <w:rsid w:val="00F65D4F"/>
    <w:rsid w:val="00F660BD"/>
    <w:rsid w:val="00F66A65"/>
    <w:rsid w:val="00F70974"/>
    <w:rsid w:val="00F71580"/>
    <w:rsid w:val="00F71E44"/>
    <w:rsid w:val="00F723AA"/>
    <w:rsid w:val="00F7273B"/>
    <w:rsid w:val="00F7469B"/>
    <w:rsid w:val="00F746A4"/>
    <w:rsid w:val="00F74BA9"/>
    <w:rsid w:val="00F752D9"/>
    <w:rsid w:val="00F7556D"/>
    <w:rsid w:val="00F76AE5"/>
    <w:rsid w:val="00F80319"/>
    <w:rsid w:val="00F80AD7"/>
    <w:rsid w:val="00F80FC2"/>
    <w:rsid w:val="00F82F06"/>
    <w:rsid w:val="00F830B1"/>
    <w:rsid w:val="00F840C2"/>
    <w:rsid w:val="00F86287"/>
    <w:rsid w:val="00F86BE9"/>
    <w:rsid w:val="00F904B1"/>
    <w:rsid w:val="00F9056E"/>
    <w:rsid w:val="00F906FC"/>
    <w:rsid w:val="00F91F84"/>
    <w:rsid w:val="00F9367A"/>
    <w:rsid w:val="00F94EC9"/>
    <w:rsid w:val="00F952C8"/>
    <w:rsid w:val="00F9693F"/>
    <w:rsid w:val="00F97950"/>
    <w:rsid w:val="00F97E2B"/>
    <w:rsid w:val="00FA0605"/>
    <w:rsid w:val="00FA0EE1"/>
    <w:rsid w:val="00FA109A"/>
    <w:rsid w:val="00FA28A2"/>
    <w:rsid w:val="00FA3480"/>
    <w:rsid w:val="00FA39FC"/>
    <w:rsid w:val="00FA46B9"/>
    <w:rsid w:val="00FA4EA2"/>
    <w:rsid w:val="00FA6469"/>
    <w:rsid w:val="00FB1995"/>
    <w:rsid w:val="00FB3872"/>
    <w:rsid w:val="00FB39BC"/>
    <w:rsid w:val="00FB3CFE"/>
    <w:rsid w:val="00FB51E7"/>
    <w:rsid w:val="00FB5312"/>
    <w:rsid w:val="00FB5AE5"/>
    <w:rsid w:val="00FB6E94"/>
    <w:rsid w:val="00FB6F17"/>
    <w:rsid w:val="00FB7906"/>
    <w:rsid w:val="00FC12DE"/>
    <w:rsid w:val="00FC26BA"/>
    <w:rsid w:val="00FC2F91"/>
    <w:rsid w:val="00FC36EB"/>
    <w:rsid w:val="00FC45D1"/>
    <w:rsid w:val="00FC534C"/>
    <w:rsid w:val="00FC5CFC"/>
    <w:rsid w:val="00FC6290"/>
    <w:rsid w:val="00FC70B6"/>
    <w:rsid w:val="00FD0673"/>
    <w:rsid w:val="00FD1C12"/>
    <w:rsid w:val="00FD2137"/>
    <w:rsid w:val="00FD2168"/>
    <w:rsid w:val="00FD2EB9"/>
    <w:rsid w:val="00FD432F"/>
    <w:rsid w:val="00FD5811"/>
    <w:rsid w:val="00FD606B"/>
    <w:rsid w:val="00FD64A2"/>
    <w:rsid w:val="00FD7076"/>
    <w:rsid w:val="00FD71B5"/>
    <w:rsid w:val="00FD75FC"/>
    <w:rsid w:val="00FD7F48"/>
    <w:rsid w:val="00FE0876"/>
    <w:rsid w:val="00FE1269"/>
    <w:rsid w:val="00FE1F52"/>
    <w:rsid w:val="00FE1F53"/>
    <w:rsid w:val="00FE2000"/>
    <w:rsid w:val="00FE257D"/>
    <w:rsid w:val="00FE4368"/>
    <w:rsid w:val="00FE5510"/>
    <w:rsid w:val="00FE6E1F"/>
    <w:rsid w:val="00FE75CE"/>
    <w:rsid w:val="00FE799A"/>
    <w:rsid w:val="00FF0265"/>
    <w:rsid w:val="00FF293B"/>
    <w:rsid w:val="00FF2DE1"/>
    <w:rsid w:val="00FF37A6"/>
    <w:rsid w:val="00FF3DCE"/>
    <w:rsid w:val="00FF3F2A"/>
    <w:rsid w:val="00FF4EF4"/>
    <w:rsid w:val="00FF519F"/>
    <w:rsid w:val="00FF52E5"/>
    <w:rsid w:val="00FF5498"/>
    <w:rsid w:val="00FF57C5"/>
    <w:rsid w:val="00FF5A4B"/>
    <w:rsid w:val="02037D8C"/>
    <w:rsid w:val="03B9D615"/>
    <w:rsid w:val="05F46693"/>
    <w:rsid w:val="06E03C00"/>
    <w:rsid w:val="0B6DF8A6"/>
    <w:rsid w:val="0E8BD993"/>
    <w:rsid w:val="12927792"/>
    <w:rsid w:val="1472C1CB"/>
    <w:rsid w:val="14FBB28F"/>
    <w:rsid w:val="1B4D846B"/>
    <w:rsid w:val="1B9156E3"/>
    <w:rsid w:val="20BF3799"/>
    <w:rsid w:val="20D863F0"/>
    <w:rsid w:val="2547D5F0"/>
    <w:rsid w:val="26E3A651"/>
    <w:rsid w:val="296078DD"/>
    <w:rsid w:val="298ADC11"/>
    <w:rsid w:val="2CD62BE2"/>
    <w:rsid w:val="2DF387C0"/>
    <w:rsid w:val="2F0E4828"/>
    <w:rsid w:val="2F437CCC"/>
    <w:rsid w:val="2F9A093B"/>
    <w:rsid w:val="32BE8742"/>
    <w:rsid w:val="3361F883"/>
    <w:rsid w:val="35E52511"/>
    <w:rsid w:val="3839D378"/>
    <w:rsid w:val="39047C8B"/>
    <w:rsid w:val="3AC09D20"/>
    <w:rsid w:val="3FC71882"/>
    <w:rsid w:val="44C13CD4"/>
    <w:rsid w:val="46160A60"/>
    <w:rsid w:val="4AE38C3D"/>
    <w:rsid w:val="4EA53443"/>
    <w:rsid w:val="4F4402A5"/>
    <w:rsid w:val="5180FA33"/>
    <w:rsid w:val="522FF80D"/>
    <w:rsid w:val="53B4B2B0"/>
    <w:rsid w:val="55B1FB34"/>
    <w:rsid w:val="57271866"/>
    <w:rsid w:val="5766CCE1"/>
    <w:rsid w:val="5839A102"/>
    <w:rsid w:val="58B9FDA2"/>
    <w:rsid w:val="58E99BF6"/>
    <w:rsid w:val="59A2E43B"/>
    <w:rsid w:val="5A6C43FA"/>
    <w:rsid w:val="63FCB2DE"/>
    <w:rsid w:val="647E4E75"/>
    <w:rsid w:val="656E482A"/>
    <w:rsid w:val="71E04167"/>
    <w:rsid w:val="74C2D182"/>
    <w:rsid w:val="7512E714"/>
    <w:rsid w:val="76B34012"/>
    <w:rsid w:val="794A8D20"/>
    <w:rsid w:val="7E2E575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BD01D"/>
  <w15:chartTrackingRefBased/>
  <w15:docId w15:val="{27B147CC-9153-4382-8082-C03109C8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F9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qFormat/>
    <w:rsid w:val="002A5F92"/>
    <w:pPr>
      <w:ind w:left="720"/>
      <w:contextualSpacing/>
    </w:pPr>
  </w:style>
  <w:style w:type="character" w:styleId="Refdecomentario">
    <w:name w:val="annotation reference"/>
    <w:basedOn w:val="Fuentedeprrafopredeter"/>
    <w:uiPriority w:val="99"/>
    <w:semiHidden/>
    <w:unhideWhenUsed/>
    <w:rsid w:val="00D20729"/>
    <w:rPr>
      <w:sz w:val="16"/>
      <w:szCs w:val="16"/>
    </w:rPr>
  </w:style>
  <w:style w:type="paragraph" w:styleId="Textocomentario">
    <w:name w:val="annotation text"/>
    <w:basedOn w:val="Normal"/>
    <w:link w:val="TextocomentarioCar"/>
    <w:uiPriority w:val="99"/>
    <w:unhideWhenUsed/>
    <w:rsid w:val="00D20729"/>
    <w:pPr>
      <w:spacing w:line="240" w:lineRule="auto"/>
    </w:pPr>
    <w:rPr>
      <w:sz w:val="20"/>
      <w:szCs w:val="20"/>
    </w:rPr>
  </w:style>
  <w:style w:type="character" w:customStyle="1" w:styleId="TextocomentarioCar">
    <w:name w:val="Texto comentario Car"/>
    <w:basedOn w:val="Fuentedeprrafopredeter"/>
    <w:link w:val="Textocomentario"/>
    <w:uiPriority w:val="99"/>
    <w:rsid w:val="00D20729"/>
    <w:rPr>
      <w:sz w:val="20"/>
      <w:szCs w:val="20"/>
    </w:rPr>
  </w:style>
  <w:style w:type="paragraph" w:styleId="Asuntodelcomentario">
    <w:name w:val="annotation subject"/>
    <w:basedOn w:val="Textocomentario"/>
    <w:next w:val="Textocomentario"/>
    <w:link w:val="AsuntodelcomentarioCar"/>
    <w:uiPriority w:val="99"/>
    <w:semiHidden/>
    <w:unhideWhenUsed/>
    <w:rsid w:val="00D20729"/>
    <w:rPr>
      <w:b/>
      <w:bCs/>
    </w:rPr>
  </w:style>
  <w:style w:type="character" w:customStyle="1" w:styleId="AsuntodelcomentarioCar">
    <w:name w:val="Asunto del comentario Car"/>
    <w:basedOn w:val="TextocomentarioCar"/>
    <w:link w:val="Asuntodelcomentario"/>
    <w:uiPriority w:val="99"/>
    <w:semiHidden/>
    <w:rsid w:val="00D20729"/>
    <w:rPr>
      <w:b/>
      <w:bCs/>
      <w:sz w:val="20"/>
      <w:szCs w:val="20"/>
    </w:rPr>
  </w:style>
  <w:style w:type="paragraph" w:styleId="Revisin">
    <w:name w:val="Revision"/>
    <w:hidden/>
    <w:uiPriority w:val="99"/>
    <w:semiHidden/>
    <w:rsid w:val="009D0480"/>
    <w:pPr>
      <w:spacing w:after="0" w:line="240" w:lineRule="auto"/>
    </w:pPr>
  </w:style>
  <w:style w:type="character" w:customStyle="1" w:styleId="PrrafodelistaCar">
    <w:name w:val="Párrafo de lista Car"/>
    <w:link w:val="Prrafodelista"/>
    <w:locked/>
    <w:rsid w:val="00E5001F"/>
  </w:style>
  <w:style w:type="character" w:styleId="Textodelmarcadordeposicin">
    <w:name w:val="Placeholder Text"/>
    <w:basedOn w:val="Fuentedeprrafopredeter"/>
    <w:uiPriority w:val="99"/>
    <w:semiHidden/>
    <w:rsid w:val="00EB5F09"/>
    <w:rPr>
      <w:color w:val="808080"/>
    </w:rPr>
  </w:style>
  <w:style w:type="character" w:styleId="Mencionar">
    <w:name w:val="Mention"/>
    <w:basedOn w:val="Fuentedeprrafopredeter"/>
    <w:uiPriority w:val="99"/>
    <w:unhideWhenUsed/>
    <w:rsid w:val="000E3F69"/>
    <w:rPr>
      <w:color w:val="2B579A"/>
      <w:shd w:val="clear" w:color="auto" w:fill="E1DFDD"/>
    </w:rPr>
  </w:style>
  <w:style w:type="paragraph" w:styleId="Encabezado">
    <w:name w:val="header"/>
    <w:basedOn w:val="Normal"/>
    <w:link w:val="EncabezadoCar"/>
    <w:uiPriority w:val="99"/>
    <w:unhideWhenUsed/>
    <w:rsid w:val="0086242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2428"/>
  </w:style>
  <w:style w:type="paragraph" w:styleId="Piedepgina">
    <w:name w:val="footer"/>
    <w:basedOn w:val="Normal"/>
    <w:link w:val="PiedepginaCar"/>
    <w:uiPriority w:val="99"/>
    <w:unhideWhenUsed/>
    <w:rsid w:val="0086242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2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55509">
      <w:bodyDiv w:val="1"/>
      <w:marLeft w:val="0"/>
      <w:marRight w:val="0"/>
      <w:marTop w:val="0"/>
      <w:marBottom w:val="0"/>
      <w:divBdr>
        <w:top w:val="none" w:sz="0" w:space="0" w:color="auto"/>
        <w:left w:val="none" w:sz="0" w:space="0" w:color="auto"/>
        <w:bottom w:val="none" w:sz="0" w:space="0" w:color="auto"/>
        <w:right w:val="none" w:sz="0" w:space="0" w:color="auto"/>
      </w:divBdr>
    </w:div>
    <w:div w:id="363363452">
      <w:bodyDiv w:val="1"/>
      <w:marLeft w:val="0"/>
      <w:marRight w:val="0"/>
      <w:marTop w:val="0"/>
      <w:marBottom w:val="0"/>
      <w:divBdr>
        <w:top w:val="none" w:sz="0" w:space="0" w:color="auto"/>
        <w:left w:val="none" w:sz="0" w:space="0" w:color="auto"/>
        <w:bottom w:val="none" w:sz="0" w:space="0" w:color="auto"/>
        <w:right w:val="none" w:sz="0" w:space="0" w:color="auto"/>
      </w:divBdr>
    </w:div>
    <w:div w:id="381713173">
      <w:bodyDiv w:val="1"/>
      <w:marLeft w:val="0"/>
      <w:marRight w:val="0"/>
      <w:marTop w:val="0"/>
      <w:marBottom w:val="0"/>
      <w:divBdr>
        <w:top w:val="none" w:sz="0" w:space="0" w:color="auto"/>
        <w:left w:val="none" w:sz="0" w:space="0" w:color="auto"/>
        <w:bottom w:val="none" w:sz="0" w:space="0" w:color="auto"/>
        <w:right w:val="none" w:sz="0" w:space="0" w:color="auto"/>
      </w:divBdr>
    </w:div>
    <w:div w:id="427848519">
      <w:bodyDiv w:val="1"/>
      <w:marLeft w:val="0"/>
      <w:marRight w:val="0"/>
      <w:marTop w:val="0"/>
      <w:marBottom w:val="0"/>
      <w:divBdr>
        <w:top w:val="none" w:sz="0" w:space="0" w:color="auto"/>
        <w:left w:val="none" w:sz="0" w:space="0" w:color="auto"/>
        <w:bottom w:val="none" w:sz="0" w:space="0" w:color="auto"/>
        <w:right w:val="none" w:sz="0" w:space="0" w:color="auto"/>
      </w:divBdr>
    </w:div>
    <w:div w:id="492527960">
      <w:bodyDiv w:val="1"/>
      <w:marLeft w:val="0"/>
      <w:marRight w:val="0"/>
      <w:marTop w:val="0"/>
      <w:marBottom w:val="0"/>
      <w:divBdr>
        <w:top w:val="none" w:sz="0" w:space="0" w:color="auto"/>
        <w:left w:val="none" w:sz="0" w:space="0" w:color="auto"/>
        <w:bottom w:val="none" w:sz="0" w:space="0" w:color="auto"/>
        <w:right w:val="none" w:sz="0" w:space="0" w:color="auto"/>
      </w:divBdr>
    </w:div>
    <w:div w:id="1759599190">
      <w:bodyDiv w:val="1"/>
      <w:marLeft w:val="0"/>
      <w:marRight w:val="0"/>
      <w:marTop w:val="0"/>
      <w:marBottom w:val="0"/>
      <w:divBdr>
        <w:top w:val="none" w:sz="0" w:space="0" w:color="auto"/>
        <w:left w:val="none" w:sz="0" w:space="0" w:color="auto"/>
        <w:bottom w:val="none" w:sz="0" w:space="0" w:color="auto"/>
        <w:right w:val="none" w:sz="0" w:space="0" w:color="auto"/>
      </w:divBdr>
    </w:div>
    <w:div w:id="1822381415">
      <w:bodyDiv w:val="1"/>
      <w:marLeft w:val="0"/>
      <w:marRight w:val="0"/>
      <w:marTop w:val="0"/>
      <w:marBottom w:val="0"/>
      <w:divBdr>
        <w:top w:val="none" w:sz="0" w:space="0" w:color="auto"/>
        <w:left w:val="none" w:sz="0" w:space="0" w:color="auto"/>
        <w:bottom w:val="none" w:sz="0" w:space="0" w:color="auto"/>
        <w:right w:val="none" w:sz="0" w:space="0" w:color="auto"/>
      </w:divBdr>
    </w:div>
    <w:div w:id="18716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05DCDAF3D1A1438C784F85EF0C3FA1" ma:contentTypeVersion="4" ma:contentTypeDescription="Create a new document." ma:contentTypeScope="" ma:versionID="dc7aa49c9585e0cbb707029da1efe803">
  <xsd:schema xmlns:xsd="http://www.w3.org/2001/XMLSchema" xmlns:xs="http://www.w3.org/2001/XMLSchema" xmlns:p="http://schemas.microsoft.com/office/2006/metadata/properties" xmlns:ns2="44272bf5-de8b-4ea8-a174-5a41ad6f509a" xmlns:ns3="b3935df5-1e7b-4217-ac25-9dfde29d48c8" targetNamespace="http://schemas.microsoft.com/office/2006/metadata/properties" ma:root="true" ma:fieldsID="f0a09138265da60f8663b967f8f98c11" ns2:_="" ns3:_="">
    <xsd:import namespace="44272bf5-de8b-4ea8-a174-5a41ad6f509a"/>
    <xsd:import namespace="b3935df5-1e7b-4217-ac25-9dfde29d4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72bf5-de8b-4ea8-a174-5a41ad6f5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935df5-1e7b-4217-ac25-9dfde29d48c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8E015-C86B-4048-A2FF-445FB23FD511}">
  <ds:schemaRefs>
    <ds:schemaRef ds:uri="http://schemas.openxmlformats.org/officeDocument/2006/bibliography"/>
  </ds:schemaRefs>
</ds:datastoreItem>
</file>

<file path=customXml/itemProps2.xml><?xml version="1.0" encoding="utf-8"?>
<ds:datastoreItem xmlns:ds="http://schemas.openxmlformats.org/officeDocument/2006/customXml" ds:itemID="{0BF91D22-93EF-47D1-B32A-4DB9DF3DB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72bf5-de8b-4ea8-a174-5a41ad6f509a"/>
    <ds:schemaRef ds:uri="b3935df5-1e7b-4217-ac25-9dfde29d4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51C28-9A16-4E37-B392-8A7BB79E1E1B}">
  <ds:schemaRefs>
    <ds:schemaRef ds:uri="http://purl.org/dc/elements/1.1/"/>
    <ds:schemaRef ds:uri="http://schemas.microsoft.com/office/2006/documentManagement/types"/>
    <ds:schemaRef ds:uri="http://purl.org/dc/terms/"/>
    <ds:schemaRef ds:uri="http://schemas.microsoft.com/office/infopath/2007/PartnerControls"/>
    <ds:schemaRef ds:uri="http://schemas.microsoft.com/office/2006/metadata/properties"/>
    <ds:schemaRef ds:uri="44272bf5-de8b-4ea8-a174-5a41ad6f509a"/>
    <ds:schemaRef ds:uri="http://purl.org/dc/dcmitype/"/>
    <ds:schemaRef ds:uri="http://schemas.openxmlformats.org/package/2006/metadata/core-properties"/>
    <ds:schemaRef ds:uri="b3935df5-1e7b-4217-ac25-9dfde29d48c8"/>
    <ds:schemaRef ds:uri="http://www.w3.org/XML/1998/namespace"/>
  </ds:schemaRefs>
</ds:datastoreItem>
</file>

<file path=customXml/itemProps4.xml><?xml version="1.0" encoding="utf-8"?>
<ds:datastoreItem xmlns:ds="http://schemas.openxmlformats.org/officeDocument/2006/customXml" ds:itemID="{50F95929-9B5C-464E-ABCD-D071281438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5327</Words>
  <Characters>29302</Characters>
  <Application>Microsoft Office Word</Application>
  <DocSecurity>0</DocSecurity>
  <Lines>244</Lines>
  <Paragraphs>69</Paragraphs>
  <ScaleCrop>false</ScaleCrop>
  <Company/>
  <LinksUpToDate>false</LinksUpToDate>
  <CharactersWithSpaces>34560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Bernardo Caicedo Guillen</dc:creator>
  <cp:keywords/>
  <dc:description/>
  <cp:lastModifiedBy>Juan Bernardo Caicedo Guillen</cp:lastModifiedBy>
  <cp:revision>2</cp:revision>
  <cp:lastPrinted>2023-06-14T17:09:00Z</cp:lastPrinted>
  <dcterms:created xsi:type="dcterms:W3CDTF">2023-06-26T20:45:00Z</dcterms:created>
  <dcterms:modified xsi:type="dcterms:W3CDTF">2023-06-26T20:45:00Z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0x0101000B05DCDAF3D1A1438C784F85EF0C3FA1</vt:lpwstr>
  </property>
</Properties>
</file>